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4C1B80" w14:textId="77777777" w:rsidR="006C7B8A" w:rsidRPr="007947B1" w:rsidRDefault="00A153B0" w:rsidP="007947B1">
      <w:pPr>
        <w:pStyle w:val="Corpodetexto"/>
        <w:spacing w:line="360" w:lineRule="auto"/>
        <w:jc w:val="center"/>
        <w:rPr>
          <w:rFonts w:ascii="Arial" w:hAnsi="Arial" w:cs="Arial"/>
          <w:b/>
          <w:bCs/>
        </w:rPr>
      </w:pPr>
      <w:r w:rsidRPr="007947B1">
        <w:rPr>
          <w:rFonts w:ascii="Arial" w:hAnsi="Arial" w:cs="Arial"/>
          <w:b/>
          <w:bCs/>
        </w:rPr>
        <w:t>Alimentação escolar: um investimento no futuro</w:t>
      </w:r>
    </w:p>
    <w:p w14:paraId="08C7C3B6" w14:textId="77777777" w:rsidR="006C7B8A" w:rsidRPr="007947B1" w:rsidRDefault="00A153B0" w:rsidP="007947B1">
      <w:pPr>
        <w:pStyle w:val="Corpodetexto"/>
        <w:spacing w:line="360" w:lineRule="auto"/>
        <w:ind w:firstLine="737"/>
        <w:jc w:val="right"/>
        <w:rPr>
          <w:rFonts w:ascii="Arial" w:hAnsi="Arial" w:cs="Arial"/>
        </w:rPr>
      </w:pPr>
      <w:r w:rsidRPr="007947B1">
        <w:rPr>
          <w:rFonts w:ascii="Arial" w:hAnsi="Arial" w:cs="Arial"/>
        </w:rPr>
        <w:t>Neurely</w:t>
      </w:r>
      <w:r w:rsidRPr="007947B1">
        <w:rPr>
          <w:rFonts w:ascii="Arial" w:hAnsi="Arial" w:cs="Arial"/>
          <w:spacing w:val="-3"/>
        </w:rPr>
        <w:t xml:space="preserve"> </w:t>
      </w:r>
      <w:r w:rsidRPr="007947B1">
        <w:rPr>
          <w:rFonts w:ascii="Arial" w:hAnsi="Arial" w:cs="Arial"/>
        </w:rPr>
        <w:t>Rezende</w:t>
      </w:r>
      <w:r w:rsidRPr="007947B1">
        <w:rPr>
          <w:rFonts w:ascii="Arial" w:hAnsi="Arial" w:cs="Arial"/>
          <w:spacing w:val="-2"/>
        </w:rPr>
        <w:t xml:space="preserve"> </w:t>
      </w:r>
      <w:r w:rsidRPr="007947B1">
        <w:rPr>
          <w:rFonts w:ascii="Arial" w:hAnsi="Arial" w:cs="Arial"/>
        </w:rPr>
        <w:t>Pereira</w:t>
      </w:r>
    </w:p>
    <w:p w14:paraId="72ABD828" w14:textId="77777777" w:rsidR="006C7B8A" w:rsidRPr="007947B1" w:rsidRDefault="006C7B8A" w:rsidP="007947B1">
      <w:pPr>
        <w:pStyle w:val="Corpodetexto"/>
        <w:spacing w:line="360" w:lineRule="auto"/>
        <w:ind w:firstLine="737"/>
        <w:jc w:val="both"/>
        <w:rPr>
          <w:rFonts w:ascii="Arial" w:hAnsi="Arial" w:cs="Arial"/>
        </w:rPr>
      </w:pPr>
    </w:p>
    <w:p w14:paraId="45907BD4" w14:textId="77777777" w:rsidR="006C7B8A" w:rsidRDefault="006C7B8A" w:rsidP="007947B1">
      <w:pPr>
        <w:pStyle w:val="Corpodetexto"/>
        <w:spacing w:line="360" w:lineRule="auto"/>
        <w:ind w:firstLine="737"/>
        <w:jc w:val="right"/>
        <w:rPr>
          <w:rFonts w:ascii="Arial" w:hAnsi="Arial" w:cs="Arial"/>
        </w:rPr>
      </w:pPr>
    </w:p>
    <w:p w14:paraId="1132269B" w14:textId="77777777" w:rsidR="007947B1" w:rsidRDefault="007947B1" w:rsidP="007947B1">
      <w:pPr>
        <w:pStyle w:val="Corpodetexto"/>
        <w:spacing w:line="360" w:lineRule="auto"/>
        <w:ind w:firstLine="737"/>
        <w:jc w:val="both"/>
        <w:rPr>
          <w:rFonts w:ascii="Arial" w:hAnsi="Arial" w:cs="Arial"/>
        </w:rPr>
      </w:pPr>
    </w:p>
    <w:p w14:paraId="2CFC1DE2" w14:textId="77777777" w:rsidR="007947B1" w:rsidRPr="007947B1" w:rsidRDefault="007947B1" w:rsidP="007947B1">
      <w:pPr>
        <w:pStyle w:val="Corpodetexto"/>
        <w:spacing w:line="360" w:lineRule="auto"/>
        <w:ind w:firstLine="737"/>
        <w:jc w:val="both"/>
        <w:rPr>
          <w:rFonts w:ascii="Arial" w:hAnsi="Arial" w:cs="Arial"/>
        </w:rPr>
      </w:pPr>
    </w:p>
    <w:p w14:paraId="52EB5340" w14:textId="77777777" w:rsidR="006C7B8A" w:rsidRPr="007947B1" w:rsidRDefault="00A153B0" w:rsidP="007947B1">
      <w:pPr>
        <w:pStyle w:val="Corpodetexto"/>
        <w:spacing w:line="360" w:lineRule="auto"/>
        <w:jc w:val="center"/>
        <w:rPr>
          <w:rFonts w:ascii="Arial" w:hAnsi="Arial" w:cs="Arial"/>
          <w:b/>
          <w:bCs/>
        </w:rPr>
      </w:pPr>
      <w:r w:rsidRPr="007947B1">
        <w:rPr>
          <w:rFonts w:ascii="Arial" w:hAnsi="Arial" w:cs="Arial"/>
          <w:b/>
          <w:bCs/>
        </w:rPr>
        <w:t>RESUMO</w:t>
      </w:r>
    </w:p>
    <w:p w14:paraId="28E592EC" w14:textId="77777777" w:rsidR="006C7B8A" w:rsidRPr="007947B1" w:rsidRDefault="00A153B0" w:rsidP="007947B1">
      <w:pPr>
        <w:pStyle w:val="Corpodetexto"/>
        <w:jc w:val="both"/>
        <w:rPr>
          <w:rFonts w:ascii="Arial" w:hAnsi="Arial" w:cs="Arial"/>
          <w:sz w:val="20"/>
          <w:szCs w:val="20"/>
        </w:rPr>
      </w:pPr>
      <w:r w:rsidRPr="007947B1">
        <w:rPr>
          <w:rFonts w:ascii="Arial" w:hAnsi="Arial" w:cs="Arial"/>
          <w:sz w:val="20"/>
          <w:szCs w:val="20"/>
        </w:rPr>
        <w:t>A</w:t>
      </w:r>
      <w:r w:rsidRPr="007947B1">
        <w:rPr>
          <w:rFonts w:ascii="Arial" w:hAnsi="Arial" w:cs="Arial"/>
          <w:spacing w:val="1"/>
          <w:sz w:val="20"/>
          <w:szCs w:val="20"/>
        </w:rPr>
        <w:t xml:space="preserve"> </w:t>
      </w:r>
      <w:r w:rsidRPr="007947B1">
        <w:rPr>
          <w:rFonts w:ascii="Arial" w:hAnsi="Arial" w:cs="Arial"/>
          <w:sz w:val="20"/>
          <w:szCs w:val="20"/>
        </w:rPr>
        <w:t>alimentação</w:t>
      </w:r>
      <w:r w:rsidRPr="007947B1">
        <w:rPr>
          <w:rFonts w:ascii="Arial" w:hAnsi="Arial" w:cs="Arial"/>
          <w:spacing w:val="1"/>
          <w:sz w:val="20"/>
          <w:szCs w:val="20"/>
        </w:rPr>
        <w:t xml:space="preserve"> </w:t>
      </w:r>
      <w:r w:rsidRPr="007947B1">
        <w:rPr>
          <w:rFonts w:ascii="Arial" w:hAnsi="Arial" w:cs="Arial"/>
          <w:sz w:val="20"/>
          <w:szCs w:val="20"/>
        </w:rPr>
        <w:t>escolar</w:t>
      </w:r>
      <w:r w:rsidRPr="007947B1">
        <w:rPr>
          <w:rFonts w:ascii="Arial" w:hAnsi="Arial" w:cs="Arial"/>
          <w:spacing w:val="1"/>
          <w:sz w:val="20"/>
          <w:szCs w:val="20"/>
        </w:rPr>
        <w:t xml:space="preserve"> </w:t>
      </w:r>
      <w:r w:rsidRPr="007947B1">
        <w:rPr>
          <w:rFonts w:ascii="Arial" w:hAnsi="Arial" w:cs="Arial"/>
          <w:sz w:val="20"/>
          <w:szCs w:val="20"/>
        </w:rPr>
        <w:t>desempenha</w:t>
      </w:r>
      <w:r w:rsidRPr="007947B1">
        <w:rPr>
          <w:rFonts w:ascii="Arial" w:hAnsi="Arial" w:cs="Arial"/>
          <w:spacing w:val="1"/>
          <w:sz w:val="20"/>
          <w:szCs w:val="20"/>
        </w:rPr>
        <w:t xml:space="preserve"> </w:t>
      </w:r>
      <w:r w:rsidRPr="007947B1">
        <w:rPr>
          <w:rFonts w:ascii="Arial" w:hAnsi="Arial" w:cs="Arial"/>
          <w:sz w:val="20"/>
          <w:szCs w:val="20"/>
        </w:rPr>
        <w:t>um</w:t>
      </w:r>
      <w:r w:rsidRPr="007947B1">
        <w:rPr>
          <w:rFonts w:ascii="Arial" w:hAnsi="Arial" w:cs="Arial"/>
          <w:spacing w:val="1"/>
          <w:sz w:val="20"/>
          <w:szCs w:val="20"/>
        </w:rPr>
        <w:t xml:space="preserve"> </w:t>
      </w:r>
      <w:r w:rsidRPr="007947B1">
        <w:rPr>
          <w:rFonts w:ascii="Arial" w:hAnsi="Arial" w:cs="Arial"/>
          <w:sz w:val="20"/>
          <w:szCs w:val="20"/>
        </w:rPr>
        <w:t>papel</w:t>
      </w:r>
      <w:r w:rsidRPr="007947B1">
        <w:rPr>
          <w:rFonts w:ascii="Arial" w:hAnsi="Arial" w:cs="Arial"/>
          <w:spacing w:val="1"/>
          <w:sz w:val="20"/>
          <w:szCs w:val="20"/>
        </w:rPr>
        <w:t xml:space="preserve"> </w:t>
      </w:r>
      <w:r w:rsidRPr="007947B1">
        <w:rPr>
          <w:rFonts w:ascii="Arial" w:hAnsi="Arial" w:cs="Arial"/>
          <w:sz w:val="20"/>
          <w:szCs w:val="20"/>
        </w:rPr>
        <w:t>crucial</w:t>
      </w:r>
      <w:r w:rsidRPr="007947B1">
        <w:rPr>
          <w:rFonts w:ascii="Arial" w:hAnsi="Arial" w:cs="Arial"/>
          <w:spacing w:val="1"/>
          <w:sz w:val="20"/>
          <w:szCs w:val="20"/>
        </w:rPr>
        <w:t xml:space="preserve"> </w:t>
      </w:r>
      <w:r w:rsidRPr="007947B1">
        <w:rPr>
          <w:rFonts w:ascii="Arial" w:hAnsi="Arial" w:cs="Arial"/>
          <w:sz w:val="20"/>
          <w:szCs w:val="20"/>
        </w:rPr>
        <w:t>no</w:t>
      </w:r>
      <w:r w:rsidRPr="007947B1">
        <w:rPr>
          <w:rFonts w:ascii="Arial" w:hAnsi="Arial" w:cs="Arial"/>
          <w:spacing w:val="66"/>
          <w:sz w:val="20"/>
          <w:szCs w:val="20"/>
        </w:rPr>
        <w:t xml:space="preserve"> </w:t>
      </w:r>
      <w:r w:rsidRPr="007947B1">
        <w:rPr>
          <w:rFonts w:ascii="Arial" w:hAnsi="Arial" w:cs="Arial"/>
          <w:sz w:val="20"/>
          <w:szCs w:val="20"/>
        </w:rPr>
        <w:t>desenvolvimento</w:t>
      </w:r>
      <w:r w:rsidRPr="007947B1">
        <w:rPr>
          <w:rFonts w:ascii="Arial" w:hAnsi="Arial" w:cs="Arial"/>
          <w:spacing w:val="1"/>
          <w:sz w:val="20"/>
          <w:szCs w:val="20"/>
        </w:rPr>
        <w:t xml:space="preserve"> </w:t>
      </w:r>
      <w:r w:rsidRPr="007947B1">
        <w:rPr>
          <w:rFonts w:ascii="Arial" w:hAnsi="Arial" w:cs="Arial"/>
          <w:sz w:val="20"/>
          <w:szCs w:val="20"/>
        </w:rPr>
        <w:t>físico, cognitivo e social de crianças e adolescentes, influenciando diretamente</w:t>
      </w:r>
      <w:r w:rsidRPr="007947B1">
        <w:rPr>
          <w:rFonts w:ascii="Arial" w:hAnsi="Arial" w:cs="Arial"/>
          <w:spacing w:val="1"/>
          <w:sz w:val="20"/>
          <w:szCs w:val="20"/>
        </w:rPr>
        <w:t xml:space="preserve"> </w:t>
      </w:r>
      <w:r w:rsidRPr="007947B1">
        <w:rPr>
          <w:rFonts w:ascii="Arial" w:hAnsi="Arial" w:cs="Arial"/>
          <w:sz w:val="20"/>
          <w:szCs w:val="20"/>
        </w:rPr>
        <w:t>seu desempenho</w:t>
      </w:r>
      <w:r w:rsidRPr="007947B1">
        <w:rPr>
          <w:rFonts w:ascii="Arial" w:hAnsi="Arial" w:cs="Arial"/>
          <w:spacing w:val="1"/>
          <w:sz w:val="20"/>
          <w:szCs w:val="20"/>
        </w:rPr>
        <w:t xml:space="preserve"> </w:t>
      </w:r>
      <w:r w:rsidRPr="007947B1">
        <w:rPr>
          <w:rFonts w:ascii="Arial" w:hAnsi="Arial" w:cs="Arial"/>
          <w:sz w:val="20"/>
          <w:szCs w:val="20"/>
        </w:rPr>
        <w:t>acadêmico e saúde a longo prazo. Este artigo aborda a</w:t>
      </w:r>
      <w:r w:rsidRPr="007947B1">
        <w:rPr>
          <w:rFonts w:ascii="Arial" w:hAnsi="Arial" w:cs="Arial"/>
          <w:spacing w:val="1"/>
          <w:sz w:val="20"/>
          <w:szCs w:val="20"/>
        </w:rPr>
        <w:t xml:space="preserve"> </w:t>
      </w:r>
      <w:r w:rsidRPr="007947B1">
        <w:rPr>
          <w:rFonts w:ascii="Arial" w:hAnsi="Arial" w:cs="Arial"/>
          <w:sz w:val="20"/>
          <w:szCs w:val="20"/>
        </w:rPr>
        <w:t>importância da alimentação escolar, seus princípios fundamentais, desafios e</w:t>
      </w:r>
      <w:r w:rsidRPr="007947B1">
        <w:rPr>
          <w:rFonts w:ascii="Arial" w:hAnsi="Arial" w:cs="Arial"/>
          <w:spacing w:val="1"/>
          <w:sz w:val="20"/>
          <w:szCs w:val="20"/>
        </w:rPr>
        <w:t xml:space="preserve"> </w:t>
      </w:r>
      <w:r w:rsidRPr="007947B1">
        <w:rPr>
          <w:rFonts w:ascii="Arial" w:hAnsi="Arial" w:cs="Arial"/>
          <w:sz w:val="20"/>
          <w:szCs w:val="20"/>
        </w:rPr>
        <w:t>soluções para a implementação de políticas eficientes, além dos benefícios a</w:t>
      </w:r>
      <w:r w:rsidRPr="007947B1">
        <w:rPr>
          <w:rFonts w:ascii="Arial" w:hAnsi="Arial" w:cs="Arial"/>
          <w:spacing w:val="1"/>
          <w:sz w:val="20"/>
          <w:szCs w:val="20"/>
        </w:rPr>
        <w:t xml:space="preserve"> </w:t>
      </w:r>
      <w:r w:rsidRPr="007947B1">
        <w:rPr>
          <w:rFonts w:ascii="Arial" w:hAnsi="Arial" w:cs="Arial"/>
          <w:sz w:val="20"/>
          <w:szCs w:val="20"/>
        </w:rPr>
        <w:t>longo prazo. Através de uma revisão da literatura sobre o tema, este trabalho</w:t>
      </w:r>
      <w:r w:rsidRPr="007947B1">
        <w:rPr>
          <w:rFonts w:ascii="Arial" w:hAnsi="Arial" w:cs="Arial"/>
          <w:spacing w:val="1"/>
          <w:sz w:val="20"/>
          <w:szCs w:val="20"/>
        </w:rPr>
        <w:t xml:space="preserve"> </w:t>
      </w:r>
      <w:r w:rsidRPr="007947B1">
        <w:rPr>
          <w:rFonts w:ascii="Arial" w:hAnsi="Arial" w:cs="Arial"/>
          <w:sz w:val="20"/>
          <w:szCs w:val="20"/>
        </w:rPr>
        <w:t>destaca</w:t>
      </w:r>
      <w:r w:rsidRPr="007947B1">
        <w:rPr>
          <w:rFonts w:ascii="Arial" w:hAnsi="Arial" w:cs="Arial"/>
          <w:spacing w:val="13"/>
          <w:sz w:val="20"/>
          <w:szCs w:val="20"/>
        </w:rPr>
        <w:t xml:space="preserve"> </w:t>
      </w:r>
      <w:r w:rsidRPr="007947B1">
        <w:rPr>
          <w:rFonts w:ascii="Arial" w:hAnsi="Arial" w:cs="Arial"/>
          <w:sz w:val="20"/>
          <w:szCs w:val="20"/>
        </w:rPr>
        <w:t>a</w:t>
      </w:r>
      <w:r w:rsidRPr="007947B1">
        <w:rPr>
          <w:rFonts w:ascii="Arial" w:hAnsi="Arial" w:cs="Arial"/>
          <w:spacing w:val="13"/>
          <w:sz w:val="20"/>
          <w:szCs w:val="20"/>
        </w:rPr>
        <w:t xml:space="preserve"> </w:t>
      </w:r>
      <w:r w:rsidRPr="007947B1">
        <w:rPr>
          <w:rFonts w:ascii="Arial" w:hAnsi="Arial" w:cs="Arial"/>
          <w:sz w:val="20"/>
          <w:szCs w:val="20"/>
        </w:rPr>
        <w:t>alimentação</w:t>
      </w:r>
      <w:r w:rsidRPr="007947B1">
        <w:rPr>
          <w:rFonts w:ascii="Arial" w:hAnsi="Arial" w:cs="Arial"/>
          <w:spacing w:val="13"/>
          <w:sz w:val="20"/>
          <w:szCs w:val="20"/>
        </w:rPr>
        <w:t xml:space="preserve"> </w:t>
      </w:r>
      <w:r w:rsidRPr="007947B1">
        <w:rPr>
          <w:rFonts w:ascii="Arial" w:hAnsi="Arial" w:cs="Arial"/>
          <w:sz w:val="20"/>
          <w:szCs w:val="20"/>
        </w:rPr>
        <w:t>escolar</w:t>
      </w:r>
      <w:r w:rsidRPr="007947B1">
        <w:rPr>
          <w:rFonts w:ascii="Arial" w:hAnsi="Arial" w:cs="Arial"/>
          <w:spacing w:val="14"/>
          <w:sz w:val="20"/>
          <w:szCs w:val="20"/>
        </w:rPr>
        <w:t xml:space="preserve"> </w:t>
      </w:r>
      <w:r w:rsidRPr="007947B1">
        <w:rPr>
          <w:rFonts w:ascii="Arial" w:hAnsi="Arial" w:cs="Arial"/>
          <w:sz w:val="20"/>
          <w:szCs w:val="20"/>
        </w:rPr>
        <w:t>como</w:t>
      </w:r>
      <w:r w:rsidRPr="007947B1">
        <w:rPr>
          <w:rFonts w:ascii="Arial" w:hAnsi="Arial" w:cs="Arial"/>
          <w:spacing w:val="13"/>
          <w:sz w:val="20"/>
          <w:szCs w:val="20"/>
        </w:rPr>
        <w:t xml:space="preserve"> </w:t>
      </w:r>
      <w:r w:rsidRPr="007947B1">
        <w:rPr>
          <w:rFonts w:ascii="Arial" w:hAnsi="Arial" w:cs="Arial"/>
          <w:sz w:val="20"/>
          <w:szCs w:val="20"/>
        </w:rPr>
        <w:t>um</w:t>
      </w:r>
      <w:r w:rsidRPr="007947B1">
        <w:rPr>
          <w:rFonts w:ascii="Arial" w:hAnsi="Arial" w:cs="Arial"/>
          <w:spacing w:val="4"/>
          <w:sz w:val="20"/>
          <w:szCs w:val="20"/>
        </w:rPr>
        <w:t xml:space="preserve"> </w:t>
      </w:r>
      <w:r w:rsidRPr="007947B1">
        <w:rPr>
          <w:rFonts w:ascii="Arial" w:hAnsi="Arial" w:cs="Arial"/>
          <w:sz w:val="20"/>
          <w:szCs w:val="20"/>
        </w:rPr>
        <w:t>investimento</w:t>
      </w:r>
      <w:r w:rsidRPr="007947B1">
        <w:rPr>
          <w:rFonts w:ascii="Arial" w:hAnsi="Arial" w:cs="Arial"/>
          <w:spacing w:val="13"/>
          <w:sz w:val="20"/>
          <w:szCs w:val="20"/>
        </w:rPr>
        <w:t xml:space="preserve"> </w:t>
      </w:r>
      <w:r w:rsidRPr="007947B1">
        <w:rPr>
          <w:rFonts w:ascii="Arial" w:hAnsi="Arial" w:cs="Arial"/>
          <w:sz w:val="20"/>
          <w:szCs w:val="20"/>
        </w:rPr>
        <w:t>necessário</w:t>
      </w:r>
      <w:r w:rsidRPr="007947B1">
        <w:rPr>
          <w:rFonts w:ascii="Arial" w:hAnsi="Arial" w:cs="Arial"/>
          <w:spacing w:val="13"/>
          <w:sz w:val="20"/>
          <w:szCs w:val="20"/>
        </w:rPr>
        <w:t xml:space="preserve"> </w:t>
      </w:r>
      <w:r w:rsidRPr="007947B1">
        <w:rPr>
          <w:rFonts w:ascii="Arial" w:hAnsi="Arial" w:cs="Arial"/>
          <w:sz w:val="20"/>
          <w:szCs w:val="20"/>
        </w:rPr>
        <w:t>para</w:t>
      </w:r>
      <w:r w:rsidRPr="007947B1">
        <w:rPr>
          <w:rFonts w:ascii="Arial" w:hAnsi="Arial" w:cs="Arial"/>
          <w:spacing w:val="13"/>
          <w:sz w:val="20"/>
          <w:szCs w:val="20"/>
        </w:rPr>
        <w:t xml:space="preserve"> </w:t>
      </w:r>
      <w:r w:rsidRPr="007947B1">
        <w:rPr>
          <w:rFonts w:ascii="Arial" w:hAnsi="Arial" w:cs="Arial"/>
          <w:sz w:val="20"/>
          <w:szCs w:val="20"/>
        </w:rPr>
        <w:t>garantir</w:t>
      </w:r>
      <w:r w:rsidRPr="007947B1">
        <w:rPr>
          <w:rFonts w:ascii="Arial" w:hAnsi="Arial" w:cs="Arial"/>
          <w:spacing w:val="-64"/>
          <w:sz w:val="20"/>
          <w:szCs w:val="20"/>
        </w:rPr>
        <w:t xml:space="preserve"> </w:t>
      </w:r>
      <w:r w:rsidRPr="007947B1">
        <w:rPr>
          <w:rFonts w:ascii="Arial" w:hAnsi="Arial" w:cs="Arial"/>
          <w:sz w:val="20"/>
          <w:szCs w:val="20"/>
        </w:rPr>
        <w:t>o</w:t>
      </w:r>
      <w:r w:rsidRPr="007947B1">
        <w:rPr>
          <w:rFonts w:ascii="Arial" w:hAnsi="Arial" w:cs="Arial"/>
          <w:spacing w:val="-1"/>
          <w:sz w:val="20"/>
          <w:szCs w:val="20"/>
        </w:rPr>
        <w:t xml:space="preserve"> </w:t>
      </w:r>
      <w:r w:rsidRPr="007947B1">
        <w:rPr>
          <w:rFonts w:ascii="Arial" w:hAnsi="Arial" w:cs="Arial"/>
          <w:sz w:val="20"/>
          <w:szCs w:val="20"/>
        </w:rPr>
        <w:t>futuro</w:t>
      </w:r>
      <w:r w:rsidRPr="007947B1">
        <w:rPr>
          <w:rFonts w:ascii="Arial" w:hAnsi="Arial" w:cs="Arial"/>
          <w:spacing w:val="-4"/>
          <w:sz w:val="20"/>
          <w:szCs w:val="20"/>
        </w:rPr>
        <w:t xml:space="preserve"> </w:t>
      </w:r>
      <w:r w:rsidRPr="007947B1">
        <w:rPr>
          <w:rFonts w:ascii="Arial" w:hAnsi="Arial" w:cs="Arial"/>
          <w:sz w:val="20"/>
          <w:szCs w:val="20"/>
        </w:rPr>
        <w:t>saudável e produtivo</w:t>
      </w:r>
      <w:r w:rsidRPr="007947B1">
        <w:rPr>
          <w:rFonts w:ascii="Arial" w:hAnsi="Arial" w:cs="Arial"/>
          <w:spacing w:val="-5"/>
          <w:sz w:val="20"/>
          <w:szCs w:val="20"/>
        </w:rPr>
        <w:t xml:space="preserve"> </w:t>
      </w:r>
      <w:r w:rsidRPr="007947B1">
        <w:rPr>
          <w:rFonts w:ascii="Arial" w:hAnsi="Arial" w:cs="Arial"/>
          <w:sz w:val="20"/>
          <w:szCs w:val="20"/>
        </w:rPr>
        <w:t>das próximas gerações.</w:t>
      </w:r>
    </w:p>
    <w:p w14:paraId="0A4224F4" w14:textId="77777777" w:rsidR="006C7B8A" w:rsidRPr="007947B1" w:rsidRDefault="006C7B8A" w:rsidP="007947B1">
      <w:pPr>
        <w:pStyle w:val="Corpodetexto"/>
        <w:spacing w:line="360" w:lineRule="auto"/>
        <w:ind w:firstLine="737"/>
        <w:jc w:val="both"/>
        <w:rPr>
          <w:rFonts w:ascii="Arial" w:hAnsi="Arial" w:cs="Arial"/>
        </w:rPr>
      </w:pPr>
    </w:p>
    <w:p w14:paraId="2690677B" w14:textId="77777777" w:rsidR="006C7B8A" w:rsidRPr="007947B1" w:rsidRDefault="00A153B0" w:rsidP="007947B1">
      <w:pPr>
        <w:pStyle w:val="Corpodetexto"/>
        <w:spacing w:line="360" w:lineRule="auto"/>
        <w:jc w:val="both"/>
        <w:rPr>
          <w:rFonts w:ascii="Arial" w:hAnsi="Arial" w:cs="Arial"/>
        </w:rPr>
      </w:pPr>
      <w:r w:rsidRPr="007947B1">
        <w:rPr>
          <w:rFonts w:ascii="Arial" w:hAnsi="Arial" w:cs="Arial"/>
          <w:b/>
        </w:rPr>
        <w:t>Palavras-chave</w:t>
      </w:r>
      <w:r w:rsidRPr="007947B1">
        <w:rPr>
          <w:rFonts w:ascii="Arial" w:hAnsi="Arial" w:cs="Arial"/>
        </w:rPr>
        <w:t>:</w:t>
      </w:r>
      <w:r w:rsidRPr="007947B1">
        <w:rPr>
          <w:rFonts w:ascii="Arial" w:hAnsi="Arial" w:cs="Arial"/>
          <w:spacing w:val="1"/>
        </w:rPr>
        <w:t xml:space="preserve"> A</w:t>
      </w:r>
      <w:r w:rsidRPr="007947B1">
        <w:rPr>
          <w:rFonts w:ascii="Arial" w:hAnsi="Arial" w:cs="Arial"/>
        </w:rPr>
        <w:t>limentação</w:t>
      </w:r>
      <w:r w:rsidRPr="007947B1">
        <w:rPr>
          <w:rFonts w:ascii="Arial" w:hAnsi="Arial" w:cs="Arial"/>
          <w:spacing w:val="1"/>
        </w:rPr>
        <w:t xml:space="preserve"> </w:t>
      </w:r>
      <w:r w:rsidRPr="007947B1">
        <w:rPr>
          <w:rFonts w:ascii="Arial" w:hAnsi="Arial" w:cs="Arial"/>
        </w:rPr>
        <w:t>escolar.</w:t>
      </w:r>
      <w:r w:rsidRPr="007947B1">
        <w:rPr>
          <w:rFonts w:ascii="Arial" w:hAnsi="Arial" w:cs="Arial"/>
          <w:spacing w:val="1"/>
        </w:rPr>
        <w:t xml:space="preserve"> D</w:t>
      </w:r>
      <w:r w:rsidRPr="007947B1">
        <w:rPr>
          <w:rFonts w:ascii="Arial" w:hAnsi="Arial" w:cs="Arial"/>
        </w:rPr>
        <w:t>esenvolvimento</w:t>
      </w:r>
      <w:r w:rsidRPr="007947B1">
        <w:rPr>
          <w:rFonts w:ascii="Arial" w:hAnsi="Arial" w:cs="Arial"/>
          <w:spacing w:val="1"/>
        </w:rPr>
        <w:t xml:space="preserve"> </w:t>
      </w:r>
      <w:r w:rsidRPr="007947B1">
        <w:rPr>
          <w:rFonts w:ascii="Arial" w:hAnsi="Arial" w:cs="Arial"/>
        </w:rPr>
        <w:t>cognitivo.</w:t>
      </w:r>
      <w:r w:rsidRPr="007947B1">
        <w:rPr>
          <w:rFonts w:ascii="Arial" w:hAnsi="Arial" w:cs="Arial"/>
          <w:spacing w:val="1"/>
        </w:rPr>
        <w:t xml:space="preserve"> S</w:t>
      </w:r>
      <w:r w:rsidRPr="007947B1">
        <w:rPr>
          <w:rFonts w:ascii="Arial" w:hAnsi="Arial" w:cs="Arial"/>
        </w:rPr>
        <w:t>aúde</w:t>
      </w:r>
      <w:r w:rsidRPr="007947B1">
        <w:rPr>
          <w:rFonts w:ascii="Arial" w:hAnsi="Arial" w:cs="Arial"/>
          <w:spacing w:val="1"/>
        </w:rPr>
        <w:t xml:space="preserve"> </w:t>
      </w:r>
      <w:r w:rsidRPr="007947B1">
        <w:rPr>
          <w:rFonts w:ascii="Arial" w:hAnsi="Arial" w:cs="Arial"/>
        </w:rPr>
        <w:t>infantil.</w:t>
      </w:r>
      <w:r w:rsidRPr="007947B1">
        <w:rPr>
          <w:rFonts w:ascii="Arial" w:hAnsi="Arial" w:cs="Arial"/>
          <w:spacing w:val="-1"/>
        </w:rPr>
        <w:t xml:space="preserve"> P</w:t>
      </w:r>
      <w:r w:rsidRPr="007947B1">
        <w:rPr>
          <w:rFonts w:ascii="Arial" w:hAnsi="Arial" w:cs="Arial"/>
        </w:rPr>
        <w:t>olíticas</w:t>
      </w:r>
      <w:r w:rsidRPr="007947B1">
        <w:rPr>
          <w:rFonts w:ascii="Arial" w:hAnsi="Arial" w:cs="Arial"/>
          <w:spacing w:val="-5"/>
        </w:rPr>
        <w:t xml:space="preserve"> </w:t>
      </w:r>
      <w:r w:rsidRPr="007947B1">
        <w:rPr>
          <w:rFonts w:ascii="Arial" w:hAnsi="Arial" w:cs="Arial"/>
        </w:rPr>
        <w:t>públicas. Nutrição.</w:t>
      </w:r>
    </w:p>
    <w:p w14:paraId="0CDE8E10" w14:textId="77777777" w:rsidR="006C7B8A" w:rsidRPr="007947B1" w:rsidRDefault="006C7B8A" w:rsidP="007947B1">
      <w:pPr>
        <w:pStyle w:val="Corpodetexto"/>
        <w:spacing w:line="360" w:lineRule="auto"/>
        <w:ind w:firstLine="737"/>
        <w:jc w:val="both"/>
        <w:rPr>
          <w:rFonts w:ascii="Arial" w:hAnsi="Arial" w:cs="Arial"/>
        </w:rPr>
      </w:pPr>
    </w:p>
    <w:p w14:paraId="50FCAE04" w14:textId="77777777" w:rsidR="006C7B8A" w:rsidRPr="007947B1" w:rsidRDefault="006C7B8A" w:rsidP="007947B1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8AC9DC2" w14:textId="1DAFF244" w:rsidR="006C7B8A" w:rsidRPr="007947B1" w:rsidRDefault="00A153B0" w:rsidP="007947B1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bookmarkStart w:id="0" w:name="1._INTRODUÇÃO"/>
      <w:bookmarkStart w:id="1" w:name="1._INTRODUÇÃO_Copia_1"/>
      <w:bookmarkEnd w:id="0"/>
      <w:bookmarkEnd w:id="1"/>
      <w:r w:rsidRPr="007947B1">
        <w:rPr>
          <w:rFonts w:ascii="Arial" w:hAnsi="Arial" w:cs="Arial"/>
          <w:b/>
          <w:bCs/>
          <w:sz w:val="24"/>
          <w:szCs w:val="24"/>
        </w:rPr>
        <w:t>I</w:t>
      </w:r>
      <w:r w:rsidR="007947B1" w:rsidRPr="007947B1">
        <w:rPr>
          <w:rFonts w:ascii="Arial" w:hAnsi="Arial" w:cs="Arial"/>
          <w:b/>
          <w:bCs/>
          <w:sz w:val="24"/>
          <w:szCs w:val="24"/>
        </w:rPr>
        <w:t>ntrodução</w:t>
      </w:r>
    </w:p>
    <w:p w14:paraId="0DFB249A" w14:textId="77777777" w:rsidR="006C7B8A" w:rsidRPr="007947B1" w:rsidRDefault="006C7B8A" w:rsidP="007947B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6B7E2D6" w14:textId="77777777" w:rsidR="006C7B8A" w:rsidRPr="007947B1" w:rsidRDefault="00A153B0" w:rsidP="007947B1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947B1">
        <w:rPr>
          <w:rFonts w:ascii="Arial" w:hAnsi="Arial" w:cs="Arial"/>
          <w:sz w:val="24"/>
          <w:szCs w:val="24"/>
        </w:rPr>
        <w:t>A alimentação escolar é uma ferramenta importante para promover a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saúde</w:t>
      </w:r>
      <w:r w:rsidRPr="007947B1">
        <w:rPr>
          <w:rFonts w:ascii="Arial" w:hAnsi="Arial" w:cs="Arial"/>
          <w:spacing w:val="24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e</w:t>
      </w:r>
      <w:r w:rsidRPr="007947B1">
        <w:rPr>
          <w:rFonts w:ascii="Arial" w:hAnsi="Arial" w:cs="Arial"/>
          <w:spacing w:val="25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o</w:t>
      </w:r>
      <w:r w:rsidRPr="007947B1">
        <w:rPr>
          <w:rFonts w:ascii="Arial" w:hAnsi="Arial" w:cs="Arial"/>
          <w:spacing w:val="24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bem-estar</w:t>
      </w:r>
      <w:r w:rsidRPr="007947B1">
        <w:rPr>
          <w:rFonts w:ascii="Arial" w:hAnsi="Arial" w:cs="Arial"/>
          <w:spacing w:val="25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dos</w:t>
      </w:r>
      <w:r w:rsidRPr="007947B1">
        <w:rPr>
          <w:rFonts w:ascii="Arial" w:hAnsi="Arial" w:cs="Arial"/>
          <w:spacing w:val="23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estudantes,</w:t>
      </w:r>
      <w:r w:rsidRPr="007947B1">
        <w:rPr>
          <w:rFonts w:ascii="Arial" w:hAnsi="Arial" w:cs="Arial"/>
          <w:spacing w:val="24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especialmente</w:t>
      </w:r>
      <w:r w:rsidRPr="007947B1">
        <w:rPr>
          <w:rFonts w:ascii="Arial" w:hAnsi="Arial" w:cs="Arial"/>
          <w:spacing w:val="24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em</w:t>
      </w:r>
      <w:r w:rsidRPr="007947B1">
        <w:rPr>
          <w:rFonts w:ascii="Arial" w:hAnsi="Arial" w:cs="Arial"/>
          <w:spacing w:val="16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um</w:t>
      </w:r>
      <w:r w:rsidRPr="007947B1">
        <w:rPr>
          <w:rFonts w:ascii="Arial" w:hAnsi="Arial" w:cs="Arial"/>
          <w:spacing w:val="2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contexto</w:t>
      </w:r>
      <w:r w:rsidRPr="007947B1">
        <w:rPr>
          <w:rFonts w:ascii="Arial" w:hAnsi="Arial" w:cs="Arial"/>
          <w:spacing w:val="24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em</w:t>
      </w:r>
      <w:r w:rsidRPr="007947B1">
        <w:rPr>
          <w:rFonts w:ascii="Arial" w:hAnsi="Arial" w:cs="Arial"/>
          <w:spacing w:val="2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que</w:t>
      </w:r>
      <w:r w:rsidRPr="007947B1">
        <w:rPr>
          <w:rFonts w:ascii="Arial" w:hAnsi="Arial" w:cs="Arial"/>
          <w:spacing w:val="-65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as taxas de obesidade infantil e doenças crônicas não transmissíveis estão em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ascensão. Para muitas crianças, as refeições escolares representam uma das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poucas oportunidades de acesso a alimentos nutritivos. Nesse contexto, as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políticas de alimentação escolar não devem apenas fornecer refeições, mas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também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apoiar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o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desenvolvimento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cognitivo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e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físico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dos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estudantes,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promovendo</w:t>
      </w:r>
      <w:r w:rsidRPr="007947B1">
        <w:rPr>
          <w:rFonts w:ascii="Arial" w:hAnsi="Arial" w:cs="Arial"/>
          <w:spacing w:val="-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hábitos</w:t>
      </w:r>
      <w:r w:rsidRPr="007947B1">
        <w:rPr>
          <w:rFonts w:ascii="Arial" w:hAnsi="Arial" w:cs="Arial"/>
          <w:spacing w:val="-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alimentares saudáveis</w:t>
      </w:r>
      <w:r w:rsidRPr="007947B1">
        <w:rPr>
          <w:rFonts w:ascii="Arial" w:hAnsi="Arial" w:cs="Arial"/>
          <w:spacing w:val="-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desde a</w:t>
      </w:r>
      <w:r w:rsidRPr="007947B1">
        <w:rPr>
          <w:rFonts w:ascii="Arial" w:hAnsi="Arial" w:cs="Arial"/>
          <w:spacing w:val="-5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infância.</w:t>
      </w:r>
    </w:p>
    <w:p w14:paraId="0786231B" w14:textId="77777777" w:rsidR="006C7B8A" w:rsidRPr="007947B1" w:rsidRDefault="00A153B0" w:rsidP="007947B1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947B1">
        <w:rPr>
          <w:rFonts w:ascii="Arial" w:hAnsi="Arial" w:cs="Arial"/>
          <w:sz w:val="24"/>
          <w:szCs w:val="24"/>
        </w:rPr>
        <w:t>Este artigo tem como objetivo analisar a importância da alimentação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escolar,</w:t>
      </w:r>
      <w:r w:rsidRPr="007947B1">
        <w:rPr>
          <w:rFonts w:ascii="Arial" w:hAnsi="Arial" w:cs="Arial"/>
          <w:spacing w:val="4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discutindo</w:t>
      </w:r>
      <w:r w:rsidRPr="007947B1">
        <w:rPr>
          <w:rFonts w:ascii="Arial" w:hAnsi="Arial" w:cs="Arial"/>
          <w:spacing w:val="42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seus</w:t>
      </w:r>
      <w:r w:rsidRPr="007947B1">
        <w:rPr>
          <w:rFonts w:ascii="Arial" w:hAnsi="Arial" w:cs="Arial"/>
          <w:spacing w:val="4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impactos</w:t>
      </w:r>
      <w:r w:rsidRPr="007947B1">
        <w:rPr>
          <w:rFonts w:ascii="Arial" w:hAnsi="Arial" w:cs="Arial"/>
          <w:spacing w:val="46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no</w:t>
      </w:r>
      <w:r w:rsidRPr="007947B1">
        <w:rPr>
          <w:rFonts w:ascii="Arial" w:hAnsi="Arial" w:cs="Arial"/>
          <w:spacing w:val="42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desenvolvimento</w:t>
      </w:r>
      <w:r w:rsidRPr="007947B1">
        <w:rPr>
          <w:rFonts w:ascii="Arial" w:hAnsi="Arial" w:cs="Arial"/>
          <w:spacing w:val="47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físico</w:t>
      </w:r>
      <w:r w:rsidRPr="007947B1">
        <w:rPr>
          <w:rFonts w:ascii="Arial" w:hAnsi="Arial" w:cs="Arial"/>
          <w:spacing w:val="47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e</w:t>
      </w:r>
      <w:r w:rsidRPr="007947B1">
        <w:rPr>
          <w:rFonts w:ascii="Arial" w:hAnsi="Arial" w:cs="Arial"/>
          <w:spacing w:val="42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cognitivo</w:t>
      </w:r>
      <w:r w:rsidRPr="007947B1">
        <w:rPr>
          <w:rFonts w:ascii="Arial" w:hAnsi="Arial" w:cs="Arial"/>
          <w:spacing w:val="42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dos estudantes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e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os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benefícios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que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ela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traz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longo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prazo.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Também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são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apresentados os principais desafios enfrentados pelas escolas e as soluções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possíveis</w:t>
      </w:r>
      <w:r w:rsidRPr="007947B1">
        <w:rPr>
          <w:rFonts w:ascii="Arial" w:hAnsi="Arial" w:cs="Arial"/>
          <w:spacing w:val="-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para uma</w:t>
      </w:r>
      <w:r w:rsidRPr="007947B1">
        <w:rPr>
          <w:rFonts w:ascii="Arial" w:hAnsi="Arial" w:cs="Arial"/>
          <w:spacing w:val="-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alimentação escolar de qualidade.</w:t>
      </w:r>
    </w:p>
    <w:p w14:paraId="3FFD83EC" w14:textId="77777777" w:rsidR="006C7B8A" w:rsidRPr="007947B1" w:rsidRDefault="006C7B8A" w:rsidP="007947B1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7BBAC8A7" w14:textId="77777777" w:rsidR="006C7B8A" w:rsidRPr="007947B1" w:rsidRDefault="006C7B8A" w:rsidP="007947B1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54D53C53" w14:textId="2AE5069F" w:rsidR="006C7B8A" w:rsidRPr="007947B1" w:rsidRDefault="00A153B0" w:rsidP="007947B1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947B1">
        <w:rPr>
          <w:rFonts w:ascii="Arial" w:hAnsi="Arial" w:cs="Arial"/>
          <w:b/>
          <w:bCs/>
          <w:sz w:val="24"/>
          <w:szCs w:val="24"/>
        </w:rPr>
        <w:t>R</w:t>
      </w:r>
      <w:r w:rsidR="007947B1" w:rsidRPr="007947B1">
        <w:rPr>
          <w:rFonts w:ascii="Arial" w:hAnsi="Arial" w:cs="Arial"/>
          <w:b/>
          <w:bCs/>
          <w:sz w:val="24"/>
          <w:szCs w:val="24"/>
        </w:rPr>
        <w:t>eferancial Teórico</w:t>
      </w:r>
    </w:p>
    <w:p w14:paraId="7FA8D1AF" w14:textId="2F3BD516" w:rsidR="006C7B8A" w:rsidRPr="007947B1" w:rsidRDefault="00A153B0" w:rsidP="007947B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947B1">
        <w:rPr>
          <w:rFonts w:ascii="Arial" w:hAnsi="Arial" w:cs="Arial"/>
          <w:b/>
          <w:sz w:val="24"/>
          <w:szCs w:val="24"/>
        </w:rPr>
        <w:lastRenderedPageBreak/>
        <w:t>A</w:t>
      </w:r>
      <w:r w:rsidRPr="007947B1">
        <w:rPr>
          <w:rFonts w:ascii="Arial" w:hAnsi="Arial" w:cs="Arial"/>
          <w:b/>
          <w:spacing w:val="-9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Relação</w:t>
      </w:r>
      <w:r w:rsidRPr="007947B1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entre</w:t>
      </w:r>
      <w:r w:rsidRPr="007947B1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Alimentação</w:t>
      </w:r>
      <w:r w:rsidRPr="007947B1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e</w:t>
      </w:r>
      <w:r w:rsidRPr="007947B1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Desenvolvimento</w:t>
      </w:r>
      <w:r w:rsidRPr="007947B1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Cognitivo</w:t>
      </w:r>
    </w:p>
    <w:p w14:paraId="0A812FC6" w14:textId="77777777" w:rsidR="006C7B8A" w:rsidRPr="007947B1" w:rsidRDefault="006C7B8A" w:rsidP="007947B1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19126286" w14:textId="77777777" w:rsidR="006C7B8A" w:rsidRPr="007947B1" w:rsidRDefault="00A153B0" w:rsidP="007947B1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947B1">
        <w:rPr>
          <w:rFonts w:ascii="Arial" w:hAnsi="Arial" w:cs="Arial"/>
          <w:sz w:val="24"/>
          <w:szCs w:val="24"/>
        </w:rPr>
        <w:t>A nutrição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desempenha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um papel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fundamental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no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desenvolvimento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cerebral,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sendo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essencial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para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funções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cognitivas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como</w:t>
      </w:r>
      <w:r w:rsidRPr="007947B1">
        <w:rPr>
          <w:rFonts w:ascii="Arial" w:hAnsi="Arial" w:cs="Arial"/>
          <w:spacing w:val="67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memória,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concentração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e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aprendizagem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(Benton,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2008).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ingestão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adequada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de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nutrientes, especialmente em fases de crescimento rápido como a infância e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adolescência, pode melhorar a capacidade de aprendizado e o desempenho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acadêmico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dos estudantes (Huang et al., 2018). Estudos demonstram que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deficiências nutricionais, como a falta de ferro ou ácidos graxos essenciais,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podem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prejudicar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o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desenvolvimento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cognitivo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e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afetar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negativamente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o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desempenho</w:t>
      </w:r>
      <w:r w:rsidRPr="007947B1">
        <w:rPr>
          <w:rFonts w:ascii="Arial" w:hAnsi="Arial" w:cs="Arial"/>
          <w:spacing w:val="-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escolar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(Walker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et</w:t>
      </w:r>
      <w:r w:rsidRPr="007947B1">
        <w:rPr>
          <w:rFonts w:ascii="Arial" w:hAnsi="Arial" w:cs="Arial"/>
          <w:spacing w:val="-4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al.,</w:t>
      </w:r>
      <w:r w:rsidRPr="007947B1">
        <w:rPr>
          <w:rFonts w:ascii="Arial" w:hAnsi="Arial" w:cs="Arial"/>
          <w:spacing w:val="-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2007).</w:t>
      </w:r>
    </w:p>
    <w:p w14:paraId="715A6CDE" w14:textId="77777777" w:rsidR="006C7B8A" w:rsidRDefault="006C7B8A" w:rsidP="007947B1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5D589066" w14:textId="77777777" w:rsidR="007947B1" w:rsidRPr="007947B1" w:rsidRDefault="007947B1" w:rsidP="007947B1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2D704CB9" w14:textId="256A76E0" w:rsidR="006C7B8A" w:rsidRPr="007947B1" w:rsidRDefault="00A153B0" w:rsidP="007947B1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947B1">
        <w:rPr>
          <w:rFonts w:ascii="Arial" w:hAnsi="Arial" w:cs="Arial"/>
          <w:b/>
          <w:bCs/>
          <w:sz w:val="24"/>
          <w:szCs w:val="24"/>
        </w:rPr>
        <w:t>Saúde</w:t>
      </w:r>
      <w:r w:rsidRPr="007947B1">
        <w:rPr>
          <w:rFonts w:ascii="Arial" w:hAnsi="Arial" w:cs="Arial"/>
          <w:b/>
          <w:bCs/>
          <w:spacing w:val="-4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bCs/>
          <w:sz w:val="24"/>
          <w:szCs w:val="24"/>
        </w:rPr>
        <w:t>e</w:t>
      </w:r>
      <w:r w:rsidRPr="007947B1">
        <w:rPr>
          <w:rFonts w:ascii="Arial" w:hAnsi="Arial" w:cs="Arial"/>
          <w:b/>
          <w:bCs/>
          <w:spacing w:val="-2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bCs/>
          <w:sz w:val="24"/>
          <w:szCs w:val="24"/>
        </w:rPr>
        <w:t>Bem-Estar</w:t>
      </w:r>
      <w:r w:rsidRPr="007947B1">
        <w:rPr>
          <w:rFonts w:ascii="Arial" w:hAnsi="Arial" w:cs="Arial"/>
          <w:b/>
          <w:bCs/>
          <w:spacing w:val="-6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bCs/>
          <w:sz w:val="24"/>
          <w:szCs w:val="24"/>
        </w:rPr>
        <w:t>Infantil</w:t>
      </w:r>
    </w:p>
    <w:p w14:paraId="483C133F" w14:textId="77777777" w:rsidR="006C7B8A" w:rsidRPr="007947B1" w:rsidRDefault="006C7B8A" w:rsidP="007947B1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43BB4103" w14:textId="77777777" w:rsidR="006C7B8A" w:rsidRPr="007947B1" w:rsidRDefault="00A153B0" w:rsidP="007947B1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947B1">
        <w:rPr>
          <w:rFonts w:ascii="Arial" w:hAnsi="Arial" w:cs="Arial"/>
          <w:sz w:val="24"/>
          <w:szCs w:val="24"/>
        </w:rPr>
        <w:t>Uma alimentação escolar saudável também contribui para a prevenção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de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doenças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crônicas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como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obesidade,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diabetes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tipo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2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e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problemas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cardiovasculares, condições que afetam diretamente a qualidade de vida e o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bem-estar das crianças e adolescentes. A obesidade infantil, em particular, é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um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problema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crescente,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que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pode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ser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mitigado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com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implementação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de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programas de alimentação escolar equilibrada (Singh et al., 2008). Além disso,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hábitos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alimentares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saudáveis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desenvolvidos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durante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infância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têm</w:t>
      </w:r>
      <w:r w:rsidRPr="007947B1">
        <w:rPr>
          <w:rFonts w:ascii="Arial" w:hAnsi="Arial" w:cs="Arial"/>
          <w:spacing w:val="66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um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impacto significativo na saúde</w:t>
      </w:r>
      <w:r w:rsidRPr="007947B1">
        <w:rPr>
          <w:rFonts w:ascii="Arial" w:hAnsi="Arial" w:cs="Arial"/>
          <w:spacing w:val="-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</w:t>
      </w:r>
      <w:r w:rsidRPr="007947B1">
        <w:rPr>
          <w:rFonts w:ascii="Arial" w:hAnsi="Arial" w:cs="Arial"/>
          <w:spacing w:val="-4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longo prazo</w:t>
      </w:r>
      <w:r w:rsidRPr="007947B1">
        <w:rPr>
          <w:rFonts w:ascii="Arial" w:hAnsi="Arial" w:cs="Arial"/>
          <w:spacing w:val="-4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(Lobstein</w:t>
      </w:r>
      <w:r w:rsidRPr="007947B1">
        <w:rPr>
          <w:rFonts w:ascii="Arial" w:hAnsi="Arial" w:cs="Arial"/>
          <w:spacing w:val="-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et</w:t>
      </w:r>
      <w:r w:rsidRPr="007947B1">
        <w:rPr>
          <w:rFonts w:ascii="Arial" w:hAnsi="Arial" w:cs="Arial"/>
          <w:spacing w:val="-5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al., 2015).</w:t>
      </w:r>
    </w:p>
    <w:p w14:paraId="01B9E3DD" w14:textId="77777777" w:rsidR="006C7B8A" w:rsidRDefault="006C7B8A" w:rsidP="007947B1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41D8F262" w14:textId="77777777" w:rsidR="007947B1" w:rsidRPr="007947B1" w:rsidRDefault="007947B1" w:rsidP="007947B1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3CCC6D9A" w14:textId="3AD7704B" w:rsidR="006C7B8A" w:rsidRPr="007947B1" w:rsidRDefault="00A153B0" w:rsidP="007947B1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947B1">
        <w:rPr>
          <w:rFonts w:ascii="Arial" w:hAnsi="Arial" w:cs="Arial"/>
          <w:b/>
          <w:bCs/>
          <w:sz w:val="24"/>
          <w:szCs w:val="24"/>
        </w:rPr>
        <w:t>Os</w:t>
      </w:r>
      <w:r w:rsidRPr="007947B1">
        <w:rPr>
          <w:rFonts w:ascii="Arial" w:hAnsi="Arial" w:cs="Arial"/>
          <w:b/>
          <w:bCs/>
          <w:spacing w:val="-4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bCs/>
          <w:sz w:val="24"/>
          <w:szCs w:val="24"/>
        </w:rPr>
        <w:t>Princípios</w:t>
      </w:r>
      <w:r w:rsidRPr="007947B1">
        <w:rPr>
          <w:rFonts w:ascii="Arial" w:hAnsi="Arial" w:cs="Arial"/>
          <w:b/>
          <w:bCs/>
          <w:spacing w:val="-5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bCs/>
          <w:sz w:val="24"/>
          <w:szCs w:val="24"/>
        </w:rPr>
        <w:t>de</w:t>
      </w:r>
      <w:r w:rsidRPr="007947B1">
        <w:rPr>
          <w:rFonts w:ascii="Arial" w:hAnsi="Arial" w:cs="Arial"/>
          <w:b/>
          <w:bCs/>
          <w:spacing w:val="-4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bCs/>
          <w:sz w:val="24"/>
          <w:szCs w:val="24"/>
        </w:rPr>
        <w:t>uma</w:t>
      </w:r>
      <w:r w:rsidRPr="007947B1">
        <w:rPr>
          <w:rFonts w:ascii="Arial" w:hAnsi="Arial" w:cs="Arial"/>
          <w:b/>
          <w:bCs/>
          <w:spacing w:val="-5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bCs/>
          <w:sz w:val="24"/>
          <w:szCs w:val="24"/>
        </w:rPr>
        <w:t>Alimentação</w:t>
      </w:r>
      <w:r w:rsidRPr="007947B1">
        <w:rPr>
          <w:rFonts w:ascii="Arial" w:hAnsi="Arial" w:cs="Arial"/>
          <w:b/>
          <w:bCs/>
          <w:spacing w:val="-3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bCs/>
          <w:sz w:val="24"/>
          <w:szCs w:val="24"/>
        </w:rPr>
        <w:t>Escolar</w:t>
      </w:r>
      <w:r w:rsidRPr="007947B1">
        <w:rPr>
          <w:rFonts w:ascii="Arial" w:hAnsi="Arial" w:cs="Arial"/>
          <w:b/>
          <w:bCs/>
          <w:spacing w:val="-8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bCs/>
          <w:sz w:val="24"/>
          <w:szCs w:val="24"/>
        </w:rPr>
        <w:t>Saudável</w:t>
      </w:r>
    </w:p>
    <w:p w14:paraId="099573D5" w14:textId="77777777" w:rsidR="006C7B8A" w:rsidRPr="007947B1" w:rsidRDefault="006C7B8A" w:rsidP="007947B1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45895F69" w14:textId="77777777" w:rsidR="006C7B8A" w:rsidRPr="007947B1" w:rsidRDefault="00A153B0" w:rsidP="007947B1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947B1">
        <w:rPr>
          <w:rFonts w:ascii="Arial" w:hAnsi="Arial" w:cs="Arial"/>
          <w:sz w:val="24"/>
          <w:szCs w:val="24"/>
        </w:rPr>
        <w:t>A literatura especializada aponta que a alimentação escolar deve ser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baseada</w:t>
      </w:r>
      <w:r w:rsidRPr="007947B1">
        <w:rPr>
          <w:rFonts w:ascii="Arial" w:hAnsi="Arial" w:cs="Arial"/>
          <w:spacing w:val="54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em</w:t>
      </w:r>
      <w:r w:rsidRPr="007947B1">
        <w:rPr>
          <w:rFonts w:ascii="Arial" w:hAnsi="Arial" w:cs="Arial"/>
          <w:spacing w:val="46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princípios</w:t>
      </w:r>
      <w:r w:rsidRPr="007947B1">
        <w:rPr>
          <w:rFonts w:ascii="Arial" w:hAnsi="Arial" w:cs="Arial"/>
          <w:spacing w:val="55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de</w:t>
      </w:r>
      <w:r w:rsidRPr="007947B1">
        <w:rPr>
          <w:rFonts w:ascii="Arial" w:hAnsi="Arial" w:cs="Arial"/>
          <w:spacing w:val="54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equilíbrio</w:t>
      </w:r>
      <w:r w:rsidRPr="007947B1">
        <w:rPr>
          <w:rFonts w:ascii="Arial" w:hAnsi="Arial" w:cs="Arial"/>
          <w:spacing w:val="55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nutricional,</w:t>
      </w:r>
      <w:r w:rsidRPr="007947B1">
        <w:rPr>
          <w:rFonts w:ascii="Arial" w:hAnsi="Arial" w:cs="Arial"/>
          <w:spacing w:val="54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diversidade</w:t>
      </w:r>
      <w:r w:rsidRPr="007947B1">
        <w:rPr>
          <w:rFonts w:ascii="Arial" w:hAnsi="Arial" w:cs="Arial"/>
          <w:spacing w:val="54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e</w:t>
      </w:r>
      <w:r w:rsidRPr="007947B1">
        <w:rPr>
          <w:rFonts w:ascii="Arial" w:hAnsi="Arial" w:cs="Arial"/>
          <w:spacing w:val="55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promoção</w:t>
      </w:r>
      <w:r w:rsidRPr="007947B1">
        <w:rPr>
          <w:rFonts w:ascii="Arial" w:hAnsi="Arial" w:cs="Arial"/>
          <w:spacing w:val="54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de escolhas alimentares saudáveis. A inclusão de alimentos integrais, como grãos,</w:t>
      </w:r>
      <w:r w:rsidRPr="007947B1">
        <w:rPr>
          <w:rFonts w:ascii="Arial" w:hAnsi="Arial" w:cs="Arial"/>
          <w:spacing w:val="-64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legumes e frutas frescas, é essencial, assim como a redução de alimentos ricos</w:t>
      </w:r>
      <w:r w:rsidRPr="007947B1">
        <w:rPr>
          <w:rFonts w:ascii="Arial" w:hAnsi="Arial" w:cs="Arial"/>
          <w:spacing w:val="-64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em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açúcares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e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gorduras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saturadas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(Coulston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et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al.,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2013).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hidratação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adequada também é um fator crítico, com a recomendação de oferecer água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potável</w:t>
      </w:r>
      <w:r w:rsidRPr="007947B1">
        <w:rPr>
          <w:rFonts w:ascii="Arial" w:hAnsi="Arial" w:cs="Arial"/>
          <w:spacing w:val="3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ao</w:t>
      </w:r>
      <w:r w:rsidRPr="007947B1">
        <w:rPr>
          <w:rFonts w:ascii="Arial" w:hAnsi="Arial" w:cs="Arial"/>
          <w:spacing w:val="-5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longo</w:t>
      </w:r>
      <w:r w:rsidRPr="007947B1">
        <w:rPr>
          <w:rFonts w:ascii="Arial" w:hAnsi="Arial" w:cs="Arial"/>
          <w:spacing w:val="-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do</w:t>
      </w:r>
      <w:r w:rsidRPr="007947B1">
        <w:rPr>
          <w:rFonts w:ascii="Arial" w:hAnsi="Arial" w:cs="Arial"/>
          <w:spacing w:val="-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dia</w:t>
      </w:r>
      <w:r w:rsidRPr="007947B1">
        <w:rPr>
          <w:rFonts w:ascii="Arial" w:hAnsi="Arial" w:cs="Arial"/>
          <w:spacing w:val="-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(World Health</w:t>
      </w:r>
      <w:r w:rsidRPr="007947B1">
        <w:rPr>
          <w:rFonts w:ascii="Arial" w:hAnsi="Arial" w:cs="Arial"/>
          <w:spacing w:val="-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Organization</w:t>
      </w:r>
      <w:r w:rsidRPr="007947B1">
        <w:rPr>
          <w:rFonts w:ascii="Arial" w:hAnsi="Arial" w:cs="Arial"/>
          <w:spacing w:val="-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[WHO],</w:t>
      </w:r>
      <w:r w:rsidRPr="007947B1">
        <w:rPr>
          <w:rFonts w:ascii="Arial" w:hAnsi="Arial" w:cs="Arial"/>
          <w:spacing w:val="-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2015).</w:t>
      </w:r>
    </w:p>
    <w:p w14:paraId="421E1F5A" w14:textId="77777777" w:rsidR="006C7B8A" w:rsidRPr="007947B1" w:rsidRDefault="00A153B0" w:rsidP="007947B1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947B1">
        <w:rPr>
          <w:rFonts w:ascii="Arial" w:hAnsi="Arial" w:cs="Arial"/>
          <w:sz w:val="24"/>
          <w:szCs w:val="24"/>
        </w:rPr>
        <w:lastRenderedPageBreak/>
        <w:t>Além disso, a educação nutricional deve ser incorporada ao currículo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escolar, a fim de capacitar os estudantes para fazerem escolhas alimentares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conscientes ao</w:t>
      </w:r>
      <w:r w:rsidRPr="007947B1">
        <w:rPr>
          <w:rFonts w:ascii="Arial" w:hAnsi="Arial" w:cs="Arial"/>
          <w:spacing w:val="-4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longo</w:t>
      </w:r>
      <w:r w:rsidRPr="007947B1">
        <w:rPr>
          <w:rFonts w:ascii="Arial" w:hAnsi="Arial" w:cs="Arial"/>
          <w:spacing w:val="-4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de suas vidas (Story et</w:t>
      </w:r>
      <w:r w:rsidRPr="007947B1">
        <w:rPr>
          <w:rFonts w:ascii="Arial" w:hAnsi="Arial" w:cs="Arial"/>
          <w:spacing w:val="-4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al.,</w:t>
      </w:r>
      <w:r w:rsidRPr="007947B1">
        <w:rPr>
          <w:rFonts w:ascii="Arial" w:hAnsi="Arial" w:cs="Arial"/>
          <w:spacing w:val="-4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2009).</w:t>
      </w:r>
    </w:p>
    <w:p w14:paraId="18A5A23B" w14:textId="77777777" w:rsidR="006C7B8A" w:rsidRPr="007947B1" w:rsidRDefault="006C7B8A" w:rsidP="007947B1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254D5F71" w14:textId="77777777" w:rsidR="006C7B8A" w:rsidRPr="007947B1" w:rsidRDefault="006C7B8A" w:rsidP="007947B1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245339C2" w14:textId="6560C9B7" w:rsidR="006C7B8A" w:rsidRPr="00753668" w:rsidRDefault="00A153B0" w:rsidP="007947B1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53668">
        <w:rPr>
          <w:rFonts w:ascii="Arial" w:hAnsi="Arial" w:cs="Arial"/>
          <w:b/>
          <w:bCs/>
          <w:sz w:val="24"/>
          <w:szCs w:val="24"/>
        </w:rPr>
        <w:t>D</w:t>
      </w:r>
      <w:r w:rsidR="00753668">
        <w:rPr>
          <w:rFonts w:ascii="Arial" w:hAnsi="Arial" w:cs="Arial"/>
          <w:b/>
          <w:bCs/>
          <w:sz w:val="24"/>
          <w:szCs w:val="24"/>
        </w:rPr>
        <w:t xml:space="preserve">esafios e soluções na implementação de uma alimentação escsolar saudável </w:t>
      </w:r>
    </w:p>
    <w:p w14:paraId="27DB9ACC" w14:textId="77777777" w:rsidR="006C7B8A" w:rsidRPr="007947B1" w:rsidRDefault="006C7B8A" w:rsidP="007947B1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2ECE5D5A" w14:textId="77777777" w:rsidR="006C7B8A" w:rsidRPr="007947B1" w:rsidRDefault="00A153B0" w:rsidP="0075366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947B1">
        <w:rPr>
          <w:rFonts w:ascii="Arial" w:hAnsi="Arial" w:cs="Arial"/>
          <w:b/>
          <w:sz w:val="24"/>
          <w:szCs w:val="24"/>
        </w:rPr>
        <w:t>Acesso</w:t>
      </w:r>
      <w:r w:rsidRPr="007947B1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a</w:t>
      </w:r>
      <w:r w:rsidRPr="007947B1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Alimentos</w:t>
      </w:r>
      <w:r w:rsidRPr="007947B1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Saudáveis</w:t>
      </w:r>
    </w:p>
    <w:p w14:paraId="3DE005FC" w14:textId="77777777" w:rsidR="006C7B8A" w:rsidRPr="007947B1" w:rsidRDefault="006C7B8A" w:rsidP="007947B1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328167BA" w14:textId="77777777" w:rsidR="006C7B8A" w:rsidRPr="007947B1" w:rsidRDefault="00A153B0" w:rsidP="007947B1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947B1">
        <w:rPr>
          <w:rFonts w:ascii="Arial" w:hAnsi="Arial" w:cs="Arial"/>
          <w:sz w:val="24"/>
          <w:szCs w:val="24"/>
        </w:rPr>
        <w:t>Um dos maiores desafios para a implementação de uma alimentação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escolar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de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qualidade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é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o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acesso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alimentos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saudáveis.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Muitas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escolas,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especialmente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em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áreas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de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maior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vulnerabilidade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social,</w:t>
      </w:r>
      <w:r w:rsidRPr="007947B1">
        <w:rPr>
          <w:rFonts w:ascii="Arial" w:hAnsi="Arial" w:cs="Arial"/>
          <w:spacing w:val="67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enfrentam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dificuldades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para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fornecer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alimentos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nutritivos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devido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</w:t>
      </w:r>
      <w:r w:rsidRPr="007947B1">
        <w:rPr>
          <w:rFonts w:ascii="Arial" w:hAnsi="Arial" w:cs="Arial"/>
          <w:spacing w:val="67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limitações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orçamentárias e à falta de infraestrutura. Programas de alimentação escolar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subsidiados ou parcerias com produtores locais podem ser soluções viáveis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para garantir o fornecimento de alimentos frescos e nutritivos (Monteiro et al.,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2019).</w:t>
      </w:r>
    </w:p>
    <w:p w14:paraId="29750C22" w14:textId="77777777" w:rsidR="006C7B8A" w:rsidRPr="007947B1" w:rsidRDefault="006C7B8A" w:rsidP="007947B1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A5F4BB9" w14:textId="77777777" w:rsidR="006C7B8A" w:rsidRPr="007947B1" w:rsidRDefault="006C7B8A" w:rsidP="007947B1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6BDE77F4" w14:textId="747DD07A" w:rsidR="006C7B8A" w:rsidRPr="00753668" w:rsidRDefault="00A153B0" w:rsidP="00753668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53668">
        <w:rPr>
          <w:rFonts w:ascii="Arial" w:hAnsi="Arial" w:cs="Arial"/>
          <w:b/>
          <w:bCs/>
          <w:sz w:val="24"/>
          <w:szCs w:val="24"/>
        </w:rPr>
        <w:t>Infraestrutura</w:t>
      </w:r>
      <w:r w:rsidRPr="00753668">
        <w:rPr>
          <w:rFonts w:ascii="Arial" w:hAnsi="Arial" w:cs="Arial"/>
          <w:b/>
          <w:bCs/>
          <w:spacing w:val="-7"/>
          <w:sz w:val="24"/>
          <w:szCs w:val="24"/>
        </w:rPr>
        <w:t xml:space="preserve"> </w:t>
      </w:r>
      <w:r w:rsidRPr="00753668">
        <w:rPr>
          <w:rFonts w:ascii="Arial" w:hAnsi="Arial" w:cs="Arial"/>
          <w:b/>
          <w:bCs/>
          <w:sz w:val="24"/>
          <w:szCs w:val="24"/>
        </w:rPr>
        <w:t>Escolar</w:t>
      </w:r>
    </w:p>
    <w:p w14:paraId="50ACB3DD" w14:textId="77777777" w:rsidR="006C7B8A" w:rsidRPr="007947B1" w:rsidRDefault="006C7B8A" w:rsidP="007947B1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C7D189A" w14:textId="77777777" w:rsidR="006C7B8A" w:rsidRPr="007947B1" w:rsidRDefault="00A153B0" w:rsidP="007947B1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947B1">
        <w:rPr>
          <w:rFonts w:ascii="Arial" w:hAnsi="Arial" w:cs="Arial"/>
          <w:sz w:val="24"/>
          <w:szCs w:val="24"/>
        </w:rPr>
        <w:t>A infraestrutura das escolas, especialmente as cozinhas e refeitórios,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deve ser adequadamente adaptada para garantir a segurança alimentar e a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preparação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de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refeições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saudáveis.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Investimentos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nesse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setor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são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fundamentais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para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implementação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de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políticas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de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alimentação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escolar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eficazes,</w:t>
      </w:r>
      <w:r w:rsidRPr="007947B1">
        <w:rPr>
          <w:rFonts w:ascii="Arial" w:hAnsi="Arial" w:cs="Arial"/>
          <w:spacing w:val="12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já</w:t>
      </w:r>
      <w:r w:rsidRPr="007947B1">
        <w:rPr>
          <w:rFonts w:ascii="Arial" w:hAnsi="Arial" w:cs="Arial"/>
          <w:spacing w:val="12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que</w:t>
      </w:r>
      <w:r w:rsidRPr="007947B1">
        <w:rPr>
          <w:rFonts w:ascii="Arial" w:hAnsi="Arial" w:cs="Arial"/>
          <w:spacing w:val="12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cozinhas</w:t>
      </w:r>
      <w:r w:rsidRPr="007947B1">
        <w:rPr>
          <w:rFonts w:ascii="Arial" w:hAnsi="Arial" w:cs="Arial"/>
          <w:spacing w:val="1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mal</w:t>
      </w:r>
      <w:r w:rsidRPr="007947B1">
        <w:rPr>
          <w:rFonts w:ascii="Arial" w:hAnsi="Arial" w:cs="Arial"/>
          <w:spacing w:val="15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equipadas</w:t>
      </w:r>
      <w:r w:rsidRPr="007947B1">
        <w:rPr>
          <w:rFonts w:ascii="Arial" w:hAnsi="Arial" w:cs="Arial"/>
          <w:spacing w:val="1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ou</w:t>
      </w:r>
      <w:r w:rsidRPr="007947B1">
        <w:rPr>
          <w:rFonts w:ascii="Arial" w:hAnsi="Arial" w:cs="Arial"/>
          <w:spacing w:val="12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inadequadas</w:t>
      </w:r>
      <w:r w:rsidRPr="007947B1">
        <w:rPr>
          <w:rFonts w:ascii="Arial" w:hAnsi="Arial" w:cs="Arial"/>
          <w:spacing w:val="1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podem</w:t>
      </w:r>
      <w:r w:rsidRPr="007947B1">
        <w:rPr>
          <w:rFonts w:ascii="Arial" w:hAnsi="Arial" w:cs="Arial"/>
          <w:spacing w:val="4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comprometer</w:t>
      </w:r>
      <w:r w:rsidRPr="007947B1">
        <w:rPr>
          <w:rFonts w:ascii="Arial" w:hAnsi="Arial" w:cs="Arial"/>
          <w:spacing w:val="-65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</w:t>
      </w:r>
      <w:r w:rsidRPr="007947B1">
        <w:rPr>
          <w:rFonts w:ascii="Arial" w:hAnsi="Arial" w:cs="Arial"/>
          <w:spacing w:val="-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qualidade</w:t>
      </w:r>
      <w:r w:rsidRPr="007947B1">
        <w:rPr>
          <w:rFonts w:ascii="Arial" w:hAnsi="Arial" w:cs="Arial"/>
          <w:spacing w:val="-4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nutricional</w:t>
      </w:r>
      <w:r w:rsidRPr="007947B1">
        <w:rPr>
          <w:rFonts w:ascii="Arial" w:hAnsi="Arial" w:cs="Arial"/>
          <w:spacing w:val="4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dos</w:t>
      </w:r>
      <w:r w:rsidRPr="007947B1">
        <w:rPr>
          <w:rFonts w:ascii="Arial" w:hAnsi="Arial" w:cs="Arial"/>
          <w:spacing w:val="-5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alimentos</w:t>
      </w:r>
      <w:r w:rsidRPr="007947B1">
        <w:rPr>
          <w:rFonts w:ascii="Arial" w:hAnsi="Arial" w:cs="Arial"/>
          <w:spacing w:val="-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(Kirk et</w:t>
      </w:r>
      <w:r w:rsidRPr="007947B1">
        <w:rPr>
          <w:rFonts w:ascii="Arial" w:hAnsi="Arial" w:cs="Arial"/>
          <w:spacing w:val="-4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al.,</w:t>
      </w:r>
      <w:r w:rsidRPr="007947B1">
        <w:rPr>
          <w:rFonts w:ascii="Arial" w:hAnsi="Arial" w:cs="Arial"/>
          <w:spacing w:val="-4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2017).</w:t>
      </w:r>
    </w:p>
    <w:p w14:paraId="4045A516" w14:textId="77777777" w:rsidR="00753668" w:rsidRDefault="00753668" w:rsidP="00753668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FC5F50B" w14:textId="77777777" w:rsidR="00753668" w:rsidRDefault="00753668" w:rsidP="00753668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AB81FD3" w14:textId="4ADB07C5" w:rsidR="006C7B8A" w:rsidRPr="00753668" w:rsidRDefault="00A153B0" w:rsidP="00753668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53668">
        <w:rPr>
          <w:rFonts w:ascii="Arial" w:hAnsi="Arial" w:cs="Arial"/>
          <w:b/>
          <w:bCs/>
          <w:sz w:val="24"/>
          <w:szCs w:val="24"/>
        </w:rPr>
        <w:t>Capacitação</w:t>
      </w:r>
      <w:r w:rsidRPr="00753668">
        <w:rPr>
          <w:rFonts w:ascii="Arial" w:hAnsi="Arial" w:cs="Arial"/>
          <w:b/>
          <w:bCs/>
          <w:spacing w:val="-6"/>
          <w:sz w:val="24"/>
          <w:szCs w:val="24"/>
        </w:rPr>
        <w:t xml:space="preserve"> </w:t>
      </w:r>
      <w:r w:rsidRPr="00753668">
        <w:rPr>
          <w:rFonts w:ascii="Arial" w:hAnsi="Arial" w:cs="Arial"/>
          <w:b/>
          <w:bCs/>
          <w:sz w:val="24"/>
          <w:szCs w:val="24"/>
        </w:rPr>
        <w:t>de</w:t>
      </w:r>
      <w:r w:rsidRPr="00753668">
        <w:rPr>
          <w:rFonts w:ascii="Arial" w:hAnsi="Arial" w:cs="Arial"/>
          <w:b/>
          <w:bCs/>
          <w:spacing w:val="-3"/>
          <w:sz w:val="24"/>
          <w:szCs w:val="24"/>
        </w:rPr>
        <w:t xml:space="preserve"> </w:t>
      </w:r>
      <w:r w:rsidRPr="00753668">
        <w:rPr>
          <w:rFonts w:ascii="Arial" w:hAnsi="Arial" w:cs="Arial"/>
          <w:b/>
          <w:bCs/>
          <w:sz w:val="24"/>
          <w:szCs w:val="24"/>
        </w:rPr>
        <w:t>Educadores</w:t>
      </w:r>
    </w:p>
    <w:p w14:paraId="64A9BC2A" w14:textId="77777777" w:rsidR="006C7B8A" w:rsidRPr="007947B1" w:rsidRDefault="006C7B8A" w:rsidP="007947B1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5EA48148" w14:textId="77777777" w:rsidR="006C7B8A" w:rsidRPr="007947B1" w:rsidRDefault="00A153B0" w:rsidP="007947B1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947B1">
        <w:rPr>
          <w:rFonts w:ascii="Arial" w:hAnsi="Arial" w:cs="Arial"/>
          <w:sz w:val="24"/>
          <w:szCs w:val="24"/>
        </w:rPr>
        <w:t>A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formação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de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educadores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também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é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crucial.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Para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promover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uma</w:t>
      </w:r>
      <w:r w:rsidRPr="007947B1">
        <w:rPr>
          <w:rFonts w:ascii="Arial" w:hAnsi="Arial" w:cs="Arial"/>
          <w:spacing w:val="-64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alimentação saudável, os professores devem ser capacitados para sensibilizar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lastRenderedPageBreak/>
        <w:t>os alunos sobre a importância da nutrição e os impactos de uma alimentação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inadequada. A integração da educação nutricional no currículo escolar pode ser</w:t>
      </w:r>
      <w:r w:rsidRPr="007947B1">
        <w:rPr>
          <w:rFonts w:ascii="Arial" w:hAnsi="Arial" w:cs="Arial"/>
          <w:spacing w:val="-64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uma</w:t>
      </w:r>
      <w:r w:rsidRPr="007947B1">
        <w:rPr>
          <w:rFonts w:ascii="Arial" w:hAnsi="Arial" w:cs="Arial"/>
          <w:spacing w:val="-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estratégia</w:t>
      </w:r>
      <w:r w:rsidRPr="007947B1">
        <w:rPr>
          <w:rFonts w:ascii="Arial" w:hAnsi="Arial" w:cs="Arial"/>
          <w:spacing w:val="-4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eficiente</w:t>
      </w:r>
      <w:r w:rsidRPr="007947B1">
        <w:rPr>
          <w:rFonts w:ascii="Arial" w:hAnsi="Arial" w:cs="Arial"/>
          <w:spacing w:val="-5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nesse sentido (Gordon</w:t>
      </w:r>
      <w:r w:rsidRPr="007947B1">
        <w:rPr>
          <w:rFonts w:ascii="Arial" w:hAnsi="Arial" w:cs="Arial"/>
          <w:spacing w:val="-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et al.,</w:t>
      </w:r>
      <w:r w:rsidRPr="007947B1">
        <w:rPr>
          <w:rFonts w:ascii="Arial" w:hAnsi="Arial" w:cs="Arial"/>
          <w:spacing w:val="9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2017).</w:t>
      </w:r>
    </w:p>
    <w:p w14:paraId="2CEF1D01" w14:textId="77777777" w:rsidR="00753668" w:rsidRDefault="00753668" w:rsidP="00753668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072DBDF" w14:textId="77777777" w:rsidR="00753668" w:rsidRDefault="00753668" w:rsidP="00753668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D6B6AD0" w14:textId="6169DE0A" w:rsidR="006C7B8A" w:rsidRPr="00753668" w:rsidRDefault="00A153B0" w:rsidP="00753668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53668">
        <w:rPr>
          <w:rFonts w:ascii="Arial" w:hAnsi="Arial" w:cs="Arial"/>
          <w:b/>
          <w:bCs/>
          <w:sz w:val="24"/>
          <w:szCs w:val="24"/>
        </w:rPr>
        <w:t>Envolvimento</w:t>
      </w:r>
      <w:r w:rsidRPr="00753668">
        <w:rPr>
          <w:rFonts w:ascii="Arial" w:hAnsi="Arial" w:cs="Arial"/>
          <w:b/>
          <w:bCs/>
          <w:spacing w:val="-3"/>
          <w:sz w:val="24"/>
          <w:szCs w:val="24"/>
        </w:rPr>
        <w:t xml:space="preserve"> </w:t>
      </w:r>
      <w:r w:rsidRPr="00753668">
        <w:rPr>
          <w:rFonts w:ascii="Arial" w:hAnsi="Arial" w:cs="Arial"/>
          <w:b/>
          <w:bCs/>
          <w:sz w:val="24"/>
          <w:szCs w:val="24"/>
        </w:rPr>
        <w:t>da</w:t>
      </w:r>
      <w:r w:rsidRPr="00753668">
        <w:rPr>
          <w:rFonts w:ascii="Arial" w:hAnsi="Arial" w:cs="Arial"/>
          <w:b/>
          <w:bCs/>
          <w:spacing w:val="-3"/>
          <w:sz w:val="24"/>
          <w:szCs w:val="24"/>
        </w:rPr>
        <w:t xml:space="preserve"> </w:t>
      </w:r>
      <w:r w:rsidRPr="00753668">
        <w:rPr>
          <w:rFonts w:ascii="Arial" w:hAnsi="Arial" w:cs="Arial"/>
          <w:b/>
          <w:bCs/>
          <w:sz w:val="24"/>
          <w:szCs w:val="24"/>
        </w:rPr>
        <w:t>Comunidade</w:t>
      </w:r>
    </w:p>
    <w:p w14:paraId="0CED78F2" w14:textId="77777777" w:rsidR="006C7B8A" w:rsidRPr="007947B1" w:rsidRDefault="006C7B8A" w:rsidP="007947B1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D45850E" w14:textId="77777777" w:rsidR="006C7B8A" w:rsidRPr="007947B1" w:rsidRDefault="00A153B0" w:rsidP="007947B1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947B1">
        <w:rPr>
          <w:rFonts w:ascii="Arial" w:hAnsi="Arial" w:cs="Arial"/>
          <w:sz w:val="24"/>
          <w:szCs w:val="24"/>
        </w:rPr>
        <w:t>A participação ativa da comunidade, incluindo pais, é essencial para o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sucesso de qualquer programa de alimentação escolar. A conscientização dos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pais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sobre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importância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da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alimentação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saudável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pode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complementar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os</w:t>
      </w:r>
      <w:r w:rsidRPr="007947B1">
        <w:rPr>
          <w:rFonts w:ascii="Arial" w:hAnsi="Arial" w:cs="Arial"/>
          <w:spacing w:val="-64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esforços das escolas e contribuir para o fortalecimento dos hábitos alimentares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das</w:t>
      </w:r>
      <w:r w:rsidRPr="007947B1">
        <w:rPr>
          <w:rFonts w:ascii="Arial" w:hAnsi="Arial" w:cs="Arial"/>
          <w:spacing w:val="-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crianças</w:t>
      </w:r>
      <w:r w:rsidRPr="007947B1">
        <w:rPr>
          <w:rFonts w:ascii="Arial" w:hAnsi="Arial" w:cs="Arial"/>
          <w:spacing w:val="-5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(Vasilevska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et</w:t>
      </w:r>
      <w:r w:rsidRPr="007947B1">
        <w:rPr>
          <w:rFonts w:ascii="Arial" w:hAnsi="Arial" w:cs="Arial"/>
          <w:spacing w:val="-4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al., 2019).</w:t>
      </w:r>
    </w:p>
    <w:p w14:paraId="3F0E12D9" w14:textId="77777777" w:rsidR="006C7B8A" w:rsidRPr="007947B1" w:rsidRDefault="006C7B8A" w:rsidP="007947B1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19F5E17B" w14:textId="77777777" w:rsidR="006C7B8A" w:rsidRPr="007947B1" w:rsidRDefault="006C7B8A" w:rsidP="007947B1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8D7EC93" w14:textId="2CE6FA4D" w:rsidR="006C7B8A" w:rsidRPr="00753668" w:rsidRDefault="00A153B0" w:rsidP="00753668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53668">
        <w:rPr>
          <w:rFonts w:ascii="Arial" w:hAnsi="Arial" w:cs="Arial"/>
          <w:b/>
          <w:bCs/>
          <w:sz w:val="24"/>
          <w:szCs w:val="24"/>
        </w:rPr>
        <w:t>B</w:t>
      </w:r>
      <w:r w:rsidR="00753668">
        <w:rPr>
          <w:rFonts w:ascii="Arial" w:hAnsi="Arial" w:cs="Arial"/>
          <w:b/>
          <w:bCs/>
          <w:sz w:val="24"/>
          <w:szCs w:val="24"/>
        </w:rPr>
        <w:t>enefícios a longo prazo da alimentação escolar</w:t>
      </w:r>
      <w:r w:rsidRPr="00753668">
        <w:rPr>
          <w:rFonts w:ascii="Arial" w:hAnsi="Arial" w:cs="Arial"/>
          <w:b/>
          <w:bCs/>
          <w:spacing w:val="-1"/>
          <w:sz w:val="24"/>
          <w:szCs w:val="24"/>
        </w:rPr>
        <w:t xml:space="preserve"> </w:t>
      </w:r>
    </w:p>
    <w:p w14:paraId="5E9B826A" w14:textId="77777777" w:rsidR="006C7B8A" w:rsidRPr="007947B1" w:rsidRDefault="006C7B8A" w:rsidP="007947B1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27719539" w14:textId="77777777" w:rsidR="006C7B8A" w:rsidRPr="007947B1" w:rsidRDefault="00A153B0" w:rsidP="0075366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947B1">
        <w:rPr>
          <w:rFonts w:ascii="Arial" w:hAnsi="Arial" w:cs="Arial"/>
          <w:b/>
          <w:sz w:val="24"/>
          <w:szCs w:val="24"/>
        </w:rPr>
        <w:t>Melhoria</w:t>
      </w:r>
      <w:r w:rsidRPr="007947B1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do</w:t>
      </w:r>
      <w:r w:rsidRPr="007947B1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Desempenho</w:t>
      </w:r>
      <w:r w:rsidRPr="007947B1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Acadêmico</w:t>
      </w:r>
    </w:p>
    <w:p w14:paraId="4B767237" w14:textId="77777777" w:rsidR="006C7B8A" w:rsidRPr="007947B1" w:rsidRDefault="006C7B8A" w:rsidP="007947B1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52F90C01" w14:textId="77777777" w:rsidR="006C7B8A" w:rsidRPr="007947B1" w:rsidRDefault="00A153B0" w:rsidP="007947B1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947B1">
        <w:rPr>
          <w:rFonts w:ascii="Arial" w:hAnsi="Arial" w:cs="Arial"/>
          <w:sz w:val="24"/>
          <w:szCs w:val="24"/>
        </w:rPr>
        <w:t>Estudos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mostram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que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alimentação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adequada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tem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um</w:t>
      </w:r>
      <w:r w:rsidRPr="007947B1">
        <w:rPr>
          <w:rFonts w:ascii="Arial" w:hAnsi="Arial" w:cs="Arial"/>
          <w:spacing w:val="66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impacto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positivo no desempenho acadêmico. Crianças bem alimentadas têm melhores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índices de concentração, desempenho em provas e interação em sala de aula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(Juszkiewicz et al., 2018). Uma alimentação balanceada também pode reduzir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problemas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de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comportamento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relacionados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distúrbios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de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atenção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e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impulsividade</w:t>
      </w:r>
      <w:r w:rsidRPr="007947B1">
        <w:rPr>
          <w:rFonts w:ascii="Arial" w:hAnsi="Arial" w:cs="Arial"/>
          <w:spacing w:val="-5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(Goh et al., 2020).</w:t>
      </w:r>
    </w:p>
    <w:p w14:paraId="345A47BF" w14:textId="77777777" w:rsidR="00A153B0" w:rsidRDefault="00A153B0" w:rsidP="007947B1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5694CD69" w14:textId="77777777" w:rsidR="00753668" w:rsidRPr="007947B1" w:rsidRDefault="00753668" w:rsidP="007947B1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483DF8F4" w14:textId="77777777" w:rsidR="00A153B0" w:rsidRPr="00753668" w:rsidRDefault="00A153B0" w:rsidP="00753668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53668">
        <w:rPr>
          <w:rFonts w:ascii="Arial" w:hAnsi="Arial" w:cs="Arial"/>
          <w:b/>
          <w:bCs/>
          <w:sz w:val="24"/>
          <w:szCs w:val="24"/>
        </w:rPr>
        <w:t>Prevenção</w:t>
      </w:r>
      <w:r w:rsidRPr="00753668">
        <w:rPr>
          <w:rFonts w:ascii="Arial" w:hAnsi="Arial" w:cs="Arial"/>
          <w:b/>
          <w:bCs/>
          <w:spacing w:val="-3"/>
          <w:sz w:val="24"/>
          <w:szCs w:val="24"/>
        </w:rPr>
        <w:t xml:space="preserve"> </w:t>
      </w:r>
      <w:r w:rsidRPr="00753668">
        <w:rPr>
          <w:rFonts w:ascii="Arial" w:hAnsi="Arial" w:cs="Arial"/>
          <w:b/>
          <w:bCs/>
          <w:sz w:val="24"/>
          <w:szCs w:val="24"/>
        </w:rPr>
        <w:t>de</w:t>
      </w:r>
      <w:r w:rsidRPr="00753668">
        <w:rPr>
          <w:rFonts w:ascii="Arial" w:hAnsi="Arial" w:cs="Arial"/>
          <w:b/>
          <w:bCs/>
          <w:spacing w:val="-4"/>
          <w:sz w:val="24"/>
          <w:szCs w:val="24"/>
        </w:rPr>
        <w:t xml:space="preserve"> </w:t>
      </w:r>
      <w:r w:rsidRPr="00753668">
        <w:rPr>
          <w:rFonts w:ascii="Arial" w:hAnsi="Arial" w:cs="Arial"/>
          <w:b/>
          <w:bCs/>
          <w:sz w:val="24"/>
          <w:szCs w:val="24"/>
        </w:rPr>
        <w:t>Doenças</w:t>
      </w:r>
      <w:r w:rsidRPr="00753668">
        <w:rPr>
          <w:rFonts w:ascii="Arial" w:hAnsi="Arial" w:cs="Arial"/>
          <w:b/>
          <w:bCs/>
          <w:spacing w:val="-4"/>
          <w:sz w:val="24"/>
          <w:szCs w:val="24"/>
        </w:rPr>
        <w:t xml:space="preserve"> </w:t>
      </w:r>
      <w:r w:rsidRPr="00753668">
        <w:rPr>
          <w:rFonts w:ascii="Arial" w:hAnsi="Arial" w:cs="Arial"/>
          <w:b/>
          <w:bCs/>
          <w:sz w:val="24"/>
          <w:szCs w:val="24"/>
        </w:rPr>
        <w:t>Crônicas</w:t>
      </w:r>
    </w:p>
    <w:p w14:paraId="5351F18F" w14:textId="77777777" w:rsidR="00A153B0" w:rsidRPr="007947B1" w:rsidRDefault="00A153B0" w:rsidP="007947B1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3DBA2B11" w14:textId="0C848794" w:rsidR="006C7B8A" w:rsidRPr="007947B1" w:rsidRDefault="00A153B0" w:rsidP="007947B1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947B1">
        <w:rPr>
          <w:rFonts w:ascii="Arial" w:hAnsi="Arial" w:cs="Arial"/>
          <w:sz w:val="24"/>
          <w:szCs w:val="24"/>
        </w:rPr>
        <w:t>O desenvolvimento de hábitos alimentares saudáveis desde a infância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pode contribuir significativamente para a prevenção de doenças crônicas na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vida adulta. A alimentação escolar, ao promover o consumo de alimentos ricos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em nutrientes e baixos em gorduras saturadas e açúcares, pode ajudar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combater a obesidade infantil e outras condições relacionadas (Lobstein et al.,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2015).</w:t>
      </w:r>
    </w:p>
    <w:p w14:paraId="54C89761" w14:textId="77777777" w:rsidR="006C7B8A" w:rsidRPr="00753668" w:rsidRDefault="00A153B0" w:rsidP="00753668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53668">
        <w:rPr>
          <w:rFonts w:ascii="Arial" w:hAnsi="Arial" w:cs="Arial"/>
          <w:b/>
          <w:bCs/>
          <w:sz w:val="24"/>
          <w:szCs w:val="24"/>
        </w:rPr>
        <w:lastRenderedPageBreak/>
        <w:t>Promoção</w:t>
      </w:r>
      <w:r w:rsidRPr="00753668">
        <w:rPr>
          <w:rFonts w:ascii="Arial" w:hAnsi="Arial" w:cs="Arial"/>
          <w:b/>
          <w:bCs/>
          <w:spacing w:val="-3"/>
          <w:sz w:val="24"/>
          <w:szCs w:val="24"/>
        </w:rPr>
        <w:t xml:space="preserve"> </w:t>
      </w:r>
      <w:r w:rsidRPr="00753668">
        <w:rPr>
          <w:rFonts w:ascii="Arial" w:hAnsi="Arial" w:cs="Arial"/>
          <w:b/>
          <w:bCs/>
          <w:sz w:val="24"/>
          <w:szCs w:val="24"/>
        </w:rPr>
        <w:t>de</w:t>
      </w:r>
      <w:r w:rsidRPr="00753668">
        <w:rPr>
          <w:rFonts w:ascii="Arial" w:hAnsi="Arial" w:cs="Arial"/>
          <w:b/>
          <w:bCs/>
          <w:spacing w:val="-3"/>
          <w:sz w:val="24"/>
          <w:szCs w:val="24"/>
        </w:rPr>
        <w:t xml:space="preserve"> </w:t>
      </w:r>
      <w:r w:rsidRPr="00753668">
        <w:rPr>
          <w:rFonts w:ascii="Arial" w:hAnsi="Arial" w:cs="Arial"/>
          <w:b/>
          <w:bCs/>
          <w:sz w:val="24"/>
          <w:szCs w:val="24"/>
        </w:rPr>
        <w:t>Hábitos</w:t>
      </w:r>
      <w:r w:rsidRPr="00753668">
        <w:rPr>
          <w:rFonts w:ascii="Arial" w:hAnsi="Arial" w:cs="Arial"/>
          <w:b/>
          <w:bCs/>
          <w:spacing w:val="-3"/>
          <w:sz w:val="24"/>
          <w:szCs w:val="24"/>
        </w:rPr>
        <w:t xml:space="preserve"> </w:t>
      </w:r>
      <w:r w:rsidRPr="00753668">
        <w:rPr>
          <w:rFonts w:ascii="Arial" w:hAnsi="Arial" w:cs="Arial"/>
          <w:b/>
          <w:bCs/>
          <w:sz w:val="24"/>
          <w:szCs w:val="24"/>
        </w:rPr>
        <w:t>Saudáveis</w:t>
      </w:r>
    </w:p>
    <w:p w14:paraId="573850BB" w14:textId="77777777" w:rsidR="006C7B8A" w:rsidRPr="007947B1" w:rsidRDefault="006C7B8A" w:rsidP="007947B1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267DE955" w14:textId="77777777" w:rsidR="006C7B8A" w:rsidRPr="007947B1" w:rsidRDefault="00A153B0" w:rsidP="007947B1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947B1">
        <w:rPr>
          <w:rFonts w:ascii="Arial" w:hAnsi="Arial" w:cs="Arial"/>
          <w:sz w:val="24"/>
          <w:szCs w:val="24"/>
        </w:rPr>
        <w:t>Ao oferecer opções alimentares saudáveis e incentivar escolhas nutritivas, as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escolas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desempenham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um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papel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fundamental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na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formação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de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hábitos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alimentares saudáveis para toda a vida (Lytle, 2002). Estes hábitos, uma vez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internalizados, têm um impacto positivo na saúde dos indivíduos ao longo de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sua</w:t>
      </w:r>
      <w:r w:rsidRPr="007947B1">
        <w:rPr>
          <w:rFonts w:ascii="Arial" w:hAnsi="Arial" w:cs="Arial"/>
          <w:spacing w:val="-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vida adulta.</w:t>
      </w:r>
    </w:p>
    <w:p w14:paraId="476D1BB9" w14:textId="77777777" w:rsidR="006C7B8A" w:rsidRPr="007947B1" w:rsidRDefault="006C7B8A" w:rsidP="007947B1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3FCD6ABD" w14:textId="77777777" w:rsidR="006C7B8A" w:rsidRPr="007947B1" w:rsidRDefault="006C7B8A" w:rsidP="007947B1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4684A908" w14:textId="697FFBF6" w:rsidR="006C7B8A" w:rsidRPr="00753668" w:rsidRDefault="00A153B0" w:rsidP="00753668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53668">
        <w:rPr>
          <w:rFonts w:ascii="Arial" w:hAnsi="Arial" w:cs="Arial"/>
          <w:b/>
          <w:bCs/>
          <w:sz w:val="24"/>
          <w:szCs w:val="24"/>
        </w:rPr>
        <w:t>C</w:t>
      </w:r>
      <w:r w:rsidR="00753668">
        <w:rPr>
          <w:rFonts w:ascii="Arial" w:hAnsi="Arial" w:cs="Arial"/>
          <w:b/>
          <w:bCs/>
          <w:sz w:val="24"/>
          <w:szCs w:val="24"/>
        </w:rPr>
        <w:t>onclusão</w:t>
      </w:r>
    </w:p>
    <w:p w14:paraId="6841DD5A" w14:textId="77777777" w:rsidR="006C7B8A" w:rsidRPr="007947B1" w:rsidRDefault="006C7B8A" w:rsidP="007947B1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41D5C54C" w14:textId="77777777" w:rsidR="006C7B8A" w:rsidRPr="007947B1" w:rsidRDefault="00A153B0" w:rsidP="007947B1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947B1">
        <w:rPr>
          <w:rFonts w:ascii="Arial" w:hAnsi="Arial" w:cs="Arial"/>
          <w:sz w:val="24"/>
          <w:szCs w:val="24"/>
        </w:rPr>
        <w:t>A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alimentação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escolar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é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uma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ferramenta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essencial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para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o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desenvolvimento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saudável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e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o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sucesso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acadêmico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das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crianças</w:t>
      </w:r>
      <w:r w:rsidRPr="007947B1">
        <w:rPr>
          <w:rFonts w:ascii="Arial" w:hAnsi="Arial" w:cs="Arial"/>
          <w:spacing w:val="67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e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adolescentes.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Ao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fornecer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refeições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balanceadas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e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nutritivas,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as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escolas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contribuem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não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apenas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para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o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crescimento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físico,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mas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também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para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o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desenvolvimento cognitivo e a formação de hábitos alimentares saudáveis. No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entanto,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implementação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de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um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sistema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de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alimentação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escolar</w:t>
      </w:r>
      <w:r w:rsidRPr="007947B1">
        <w:rPr>
          <w:rFonts w:ascii="Arial" w:hAnsi="Arial" w:cs="Arial"/>
          <w:spacing w:val="66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eficaz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enfrenta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desafios,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como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falta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de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recursos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e</w:t>
      </w:r>
      <w:r w:rsidRPr="007947B1">
        <w:rPr>
          <w:rFonts w:ascii="Arial" w:hAnsi="Arial" w:cs="Arial"/>
          <w:spacing w:val="66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infraestrutura</w:t>
      </w:r>
      <w:r w:rsidRPr="007947B1">
        <w:rPr>
          <w:rFonts w:ascii="Arial" w:hAnsi="Arial" w:cs="Arial"/>
          <w:spacing w:val="67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inadequada.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Investir na alimentação escolar é, portanto, um investimento no futuro, com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benefícios a longo prazo para a saúde e o desempenho acadêmico das futuras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gerações.</w:t>
      </w:r>
    </w:p>
    <w:p w14:paraId="40FEDB43" w14:textId="77777777" w:rsidR="006C7B8A" w:rsidRPr="007947B1" w:rsidRDefault="006C7B8A" w:rsidP="007947B1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C2E6D57" w14:textId="77777777" w:rsidR="006C7B8A" w:rsidRPr="007947B1" w:rsidRDefault="006C7B8A" w:rsidP="007947B1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6C254778" w14:textId="77777777" w:rsidR="006C7B8A" w:rsidRPr="007947B1" w:rsidRDefault="00A153B0" w:rsidP="007947B1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947B1">
        <w:rPr>
          <w:rFonts w:ascii="Arial" w:hAnsi="Arial" w:cs="Arial"/>
          <w:b/>
          <w:bCs/>
          <w:sz w:val="24"/>
          <w:szCs w:val="24"/>
        </w:rPr>
        <w:t>REFERÊNCIAS</w:t>
      </w:r>
    </w:p>
    <w:p w14:paraId="6D33AE84" w14:textId="77777777" w:rsidR="006C7B8A" w:rsidRPr="007947B1" w:rsidRDefault="006C7B8A" w:rsidP="007947B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2BAFBC1" w14:textId="77777777" w:rsidR="006C7B8A" w:rsidRPr="007947B1" w:rsidRDefault="00A153B0" w:rsidP="007947B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947B1">
        <w:rPr>
          <w:rFonts w:ascii="Arial" w:hAnsi="Arial" w:cs="Arial"/>
          <w:sz w:val="24"/>
          <w:szCs w:val="24"/>
        </w:rPr>
        <w:t>BENTON,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D.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(2008).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The</w:t>
      </w:r>
      <w:r w:rsidRPr="007947B1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influence</w:t>
      </w:r>
      <w:r w:rsidRPr="007947B1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of</w:t>
      </w:r>
      <w:r w:rsidRPr="007947B1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dietary</w:t>
      </w:r>
      <w:r w:rsidRPr="007947B1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status</w:t>
      </w:r>
      <w:r w:rsidRPr="007947B1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on</w:t>
      </w:r>
      <w:r w:rsidRPr="007947B1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the</w:t>
      </w:r>
      <w:r w:rsidRPr="007947B1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cognitive</w:t>
      </w:r>
      <w:r w:rsidRPr="007947B1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performance of children</w:t>
      </w:r>
      <w:r w:rsidRPr="007947B1">
        <w:rPr>
          <w:rFonts w:ascii="Arial" w:hAnsi="Arial" w:cs="Arial"/>
          <w:sz w:val="24"/>
          <w:szCs w:val="24"/>
        </w:rPr>
        <w:t>. Molecular Nutrition &amp; Food Research, 52(6), 503-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510.</w:t>
      </w:r>
    </w:p>
    <w:p w14:paraId="0A591A6C" w14:textId="77777777" w:rsidR="006C7B8A" w:rsidRPr="007947B1" w:rsidRDefault="006C7B8A" w:rsidP="007947B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75745BA" w14:textId="77777777" w:rsidR="006C7B8A" w:rsidRPr="007947B1" w:rsidRDefault="00A153B0" w:rsidP="007947B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947B1">
        <w:rPr>
          <w:rFonts w:ascii="Arial" w:hAnsi="Arial" w:cs="Arial"/>
          <w:sz w:val="24"/>
          <w:szCs w:val="24"/>
        </w:rPr>
        <w:t>COULSTON,</w:t>
      </w:r>
      <w:r w:rsidRPr="007947B1">
        <w:rPr>
          <w:rFonts w:ascii="Arial" w:hAnsi="Arial" w:cs="Arial"/>
          <w:spacing w:val="16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A.</w:t>
      </w:r>
      <w:r w:rsidRPr="007947B1">
        <w:rPr>
          <w:rFonts w:ascii="Arial" w:hAnsi="Arial" w:cs="Arial"/>
          <w:spacing w:val="16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M.,</w:t>
      </w:r>
      <w:r w:rsidRPr="007947B1">
        <w:rPr>
          <w:rFonts w:ascii="Arial" w:hAnsi="Arial" w:cs="Arial"/>
          <w:spacing w:val="18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BOUSHEY,</w:t>
      </w:r>
      <w:r w:rsidRPr="007947B1">
        <w:rPr>
          <w:rFonts w:ascii="Arial" w:hAnsi="Arial" w:cs="Arial"/>
          <w:spacing w:val="17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C.</w:t>
      </w:r>
      <w:r w:rsidRPr="007947B1">
        <w:rPr>
          <w:rFonts w:ascii="Arial" w:hAnsi="Arial" w:cs="Arial"/>
          <w:spacing w:val="16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J.,</w:t>
      </w:r>
      <w:r w:rsidRPr="007947B1">
        <w:rPr>
          <w:rFonts w:ascii="Arial" w:hAnsi="Arial" w:cs="Arial"/>
          <w:spacing w:val="17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&amp;</w:t>
      </w:r>
      <w:r w:rsidRPr="007947B1">
        <w:rPr>
          <w:rFonts w:ascii="Arial" w:hAnsi="Arial" w:cs="Arial"/>
          <w:spacing w:val="12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FERRUZZI,</w:t>
      </w:r>
      <w:r w:rsidRPr="007947B1">
        <w:rPr>
          <w:rFonts w:ascii="Arial" w:hAnsi="Arial" w:cs="Arial"/>
          <w:spacing w:val="16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M.</w:t>
      </w:r>
      <w:r w:rsidRPr="007947B1">
        <w:rPr>
          <w:rFonts w:ascii="Arial" w:hAnsi="Arial" w:cs="Arial"/>
          <w:spacing w:val="16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G.</w:t>
      </w:r>
      <w:r w:rsidRPr="007947B1">
        <w:rPr>
          <w:rFonts w:ascii="Arial" w:hAnsi="Arial" w:cs="Arial"/>
          <w:spacing w:val="13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(2013).</w:t>
      </w:r>
      <w:r w:rsidRPr="007947B1">
        <w:rPr>
          <w:rFonts w:ascii="Arial" w:hAnsi="Arial" w:cs="Arial"/>
          <w:spacing w:val="16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Nutrition</w:t>
      </w:r>
      <w:r w:rsidRPr="007947B1">
        <w:rPr>
          <w:rFonts w:ascii="Arial" w:hAnsi="Arial" w:cs="Arial"/>
          <w:spacing w:val="2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in</w:t>
      </w:r>
    </w:p>
    <w:p w14:paraId="0A1AB5A8" w14:textId="77777777" w:rsidR="006C7B8A" w:rsidRPr="007947B1" w:rsidRDefault="00A153B0" w:rsidP="007947B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947B1">
        <w:rPr>
          <w:rFonts w:ascii="Arial" w:hAnsi="Arial" w:cs="Arial"/>
          <w:b/>
          <w:sz w:val="24"/>
          <w:szCs w:val="24"/>
        </w:rPr>
        <w:t>the</w:t>
      </w:r>
      <w:r w:rsidRPr="007947B1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prevention</w:t>
      </w:r>
      <w:r w:rsidRPr="007947B1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and</w:t>
      </w:r>
      <w:r w:rsidRPr="007947B1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treatment</w:t>
      </w:r>
      <w:r w:rsidRPr="007947B1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of</w:t>
      </w:r>
      <w:r w:rsidRPr="007947B1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disease</w:t>
      </w:r>
      <w:r w:rsidRPr="007947B1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(3rd</w:t>
      </w:r>
      <w:r w:rsidRPr="007947B1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ed.)</w:t>
      </w:r>
      <w:r w:rsidRPr="007947B1">
        <w:rPr>
          <w:rFonts w:ascii="Arial" w:hAnsi="Arial" w:cs="Arial"/>
          <w:sz w:val="24"/>
          <w:szCs w:val="24"/>
        </w:rPr>
        <w:t>.</w:t>
      </w:r>
      <w:r w:rsidRPr="007947B1">
        <w:rPr>
          <w:rFonts w:ascii="Arial" w:hAnsi="Arial" w:cs="Arial"/>
          <w:spacing w:val="-3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Academic</w:t>
      </w:r>
      <w:r w:rsidRPr="007947B1">
        <w:rPr>
          <w:rFonts w:ascii="Arial" w:hAnsi="Arial" w:cs="Arial"/>
          <w:spacing w:val="-2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Press.</w:t>
      </w:r>
    </w:p>
    <w:p w14:paraId="3DB7B3A4" w14:textId="77777777" w:rsidR="006C7B8A" w:rsidRPr="007947B1" w:rsidRDefault="006C7B8A" w:rsidP="007947B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B736A9A" w14:textId="77777777" w:rsidR="006C7B8A" w:rsidRPr="007947B1" w:rsidRDefault="00A153B0" w:rsidP="007947B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947B1">
        <w:rPr>
          <w:rFonts w:ascii="Arial" w:hAnsi="Arial" w:cs="Arial"/>
          <w:sz w:val="24"/>
          <w:szCs w:val="24"/>
        </w:rPr>
        <w:t xml:space="preserve">GOH, T. L., ALLEN, R. L., &amp; GOH, P. J. (2020). </w:t>
      </w:r>
      <w:r w:rsidRPr="007947B1">
        <w:rPr>
          <w:rFonts w:ascii="Arial" w:hAnsi="Arial" w:cs="Arial"/>
          <w:b/>
          <w:sz w:val="24"/>
          <w:szCs w:val="24"/>
        </w:rPr>
        <w:t>Nutritional interventions in</w:t>
      </w:r>
      <w:r w:rsidRPr="007947B1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children with ADHD: Effects on behavior and cognitive function</w:t>
      </w:r>
      <w:r w:rsidRPr="007947B1">
        <w:rPr>
          <w:rFonts w:ascii="Arial" w:hAnsi="Arial" w:cs="Arial"/>
          <w:sz w:val="24"/>
          <w:szCs w:val="24"/>
        </w:rPr>
        <w:t>. Journal of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lastRenderedPageBreak/>
        <w:t>Attention</w:t>
      </w:r>
      <w:r w:rsidRPr="007947B1">
        <w:rPr>
          <w:rFonts w:ascii="Arial" w:hAnsi="Arial" w:cs="Arial"/>
          <w:spacing w:val="-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Disorders, 24(1),</w:t>
      </w:r>
      <w:r w:rsidRPr="007947B1">
        <w:rPr>
          <w:rFonts w:ascii="Arial" w:hAnsi="Arial" w:cs="Arial"/>
          <w:spacing w:val="-5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3-10.</w:t>
      </w:r>
    </w:p>
    <w:p w14:paraId="25CD6F7D" w14:textId="77777777" w:rsidR="006C7B8A" w:rsidRPr="007947B1" w:rsidRDefault="006C7B8A" w:rsidP="007947B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53AC435" w14:textId="77777777" w:rsidR="006C7B8A" w:rsidRPr="007947B1" w:rsidRDefault="00A153B0" w:rsidP="007947B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947B1">
        <w:rPr>
          <w:rFonts w:ascii="Arial" w:hAnsi="Arial" w:cs="Arial"/>
          <w:sz w:val="24"/>
          <w:szCs w:val="24"/>
        </w:rPr>
        <w:t xml:space="preserve">GORDON, A. R., DOBSON, A., &amp; LANZA, M. L. (2017). </w:t>
      </w:r>
      <w:r w:rsidRPr="007947B1">
        <w:rPr>
          <w:rFonts w:ascii="Arial" w:hAnsi="Arial" w:cs="Arial"/>
          <w:b/>
          <w:sz w:val="24"/>
          <w:szCs w:val="24"/>
        </w:rPr>
        <w:t>The role of education</w:t>
      </w:r>
      <w:r w:rsidRPr="007947B1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in</w:t>
      </w:r>
      <w:r w:rsidRPr="007947B1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promoting</w:t>
      </w:r>
      <w:r w:rsidRPr="007947B1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healthy</w:t>
      </w:r>
      <w:r w:rsidRPr="007947B1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eating</w:t>
      </w:r>
      <w:r w:rsidRPr="007947B1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behaviors</w:t>
      </w:r>
      <w:r w:rsidRPr="007947B1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in</w:t>
      </w:r>
      <w:r w:rsidRPr="007947B1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schools.</w:t>
      </w:r>
      <w:r w:rsidRPr="007947B1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Journal</w:t>
      </w:r>
      <w:r w:rsidRPr="007947B1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of</w:t>
      </w:r>
      <w:r w:rsidRPr="007947B1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School</w:t>
      </w:r>
      <w:r w:rsidRPr="007947B1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Health</w:t>
      </w:r>
      <w:r w:rsidRPr="007947B1">
        <w:rPr>
          <w:rFonts w:ascii="Arial" w:hAnsi="Arial" w:cs="Arial"/>
          <w:sz w:val="24"/>
          <w:szCs w:val="24"/>
        </w:rPr>
        <w:t>,</w:t>
      </w:r>
      <w:r w:rsidRPr="007947B1">
        <w:rPr>
          <w:rFonts w:ascii="Arial" w:hAnsi="Arial" w:cs="Arial"/>
          <w:spacing w:val="-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87(8),</w:t>
      </w:r>
      <w:r w:rsidRPr="007947B1">
        <w:rPr>
          <w:rFonts w:ascii="Arial" w:hAnsi="Arial" w:cs="Arial"/>
          <w:spacing w:val="2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583-591.</w:t>
      </w:r>
    </w:p>
    <w:p w14:paraId="4A860F21" w14:textId="77777777" w:rsidR="006C7B8A" w:rsidRPr="007947B1" w:rsidRDefault="006C7B8A" w:rsidP="007947B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3FF31B8" w14:textId="77777777" w:rsidR="006C7B8A" w:rsidRPr="007947B1" w:rsidRDefault="00A153B0" w:rsidP="007947B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947B1">
        <w:rPr>
          <w:rFonts w:ascii="Arial" w:hAnsi="Arial" w:cs="Arial"/>
          <w:sz w:val="24"/>
          <w:szCs w:val="24"/>
        </w:rPr>
        <w:t xml:space="preserve">HUANG, J., LEUNG, C. W., &amp; KAPLAN, H. (2018). </w:t>
      </w:r>
      <w:r w:rsidRPr="007947B1">
        <w:rPr>
          <w:rFonts w:ascii="Arial" w:hAnsi="Arial" w:cs="Arial"/>
          <w:b/>
          <w:sz w:val="24"/>
          <w:szCs w:val="24"/>
        </w:rPr>
        <w:t>The impact of school meal</w:t>
      </w:r>
      <w:r w:rsidRPr="007947B1">
        <w:rPr>
          <w:rFonts w:ascii="Arial" w:hAnsi="Arial" w:cs="Arial"/>
          <w:b/>
          <w:spacing w:val="-64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programs</w:t>
      </w:r>
      <w:r w:rsidRPr="007947B1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on</w:t>
      </w:r>
      <w:r w:rsidRPr="007947B1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childhood</w:t>
      </w:r>
      <w:r w:rsidRPr="007947B1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nutrition</w:t>
      </w:r>
      <w:r w:rsidRPr="007947B1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and</w:t>
      </w:r>
      <w:r w:rsidRPr="007947B1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academic</w:t>
      </w:r>
      <w:r w:rsidRPr="007947B1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performance.</w:t>
      </w:r>
      <w:r w:rsidRPr="007947B1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Nutrition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Reviews,</w:t>
      </w:r>
      <w:r w:rsidRPr="007947B1">
        <w:rPr>
          <w:rFonts w:ascii="Arial" w:hAnsi="Arial" w:cs="Arial"/>
          <w:spacing w:val="-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76(5), 337-350.</w:t>
      </w:r>
    </w:p>
    <w:p w14:paraId="40231352" w14:textId="77777777" w:rsidR="006C7B8A" w:rsidRPr="007947B1" w:rsidRDefault="006C7B8A" w:rsidP="007947B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CA90277" w14:textId="77777777" w:rsidR="006C7B8A" w:rsidRPr="007947B1" w:rsidRDefault="00A153B0" w:rsidP="007947B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947B1">
        <w:rPr>
          <w:rFonts w:ascii="Arial" w:hAnsi="Arial" w:cs="Arial"/>
          <w:sz w:val="24"/>
          <w:szCs w:val="24"/>
        </w:rPr>
        <w:t>JUSZKIEWICZ,</w:t>
      </w:r>
      <w:r w:rsidRPr="007947B1">
        <w:rPr>
          <w:rFonts w:ascii="Arial" w:hAnsi="Arial" w:cs="Arial"/>
          <w:spacing w:val="40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A.,</w:t>
      </w:r>
      <w:r w:rsidRPr="007947B1">
        <w:rPr>
          <w:rFonts w:ascii="Arial" w:hAnsi="Arial" w:cs="Arial"/>
          <w:spacing w:val="37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SZCZEPANSKA,</w:t>
      </w:r>
      <w:r w:rsidRPr="007947B1">
        <w:rPr>
          <w:rFonts w:ascii="Arial" w:hAnsi="Arial" w:cs="Arial"/>
          <w:spacing w:val="40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A.,</w:t>
      </w:r>
      <w:r w:rsidRPr="007947B1">
        <w:rPr>
          <w:rFonts w:ascii="Arial" w:hAnsi="Arial" w:cs="Arial"/>
          <w:spacing w:val="4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&amp;</w:t>
      </w:r>
      <w:r w:rsidRPr="007947B1">
        <w:rPr>
          <w:rFonts w:ascii="Arial" w:hAnsi="Arial" w:cs="Arial"/>
          <w:spacing w:val="39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KOWALSKI,</w:t>
      </w:r>
      <w:r w:rsidRPr="007947B1">
        <w:rPr>
          <w:rFonts w:ascii="Arial" w:hAnsi="Arial" w:cs="Arial"/>
          <w:spacing w:val="38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P.</w:t>
      </w:r>
      <w:r w:rsidRPr="007947B1">
        <w:rPr>
          <w:rFonts w:ascii="Arial" w:hAnsi="Arial" w:cs="Arial"/>
          <w:spacing w:val="40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(2018).</w:t>
      </w:r>
      <w:r w:rsidRPr="007947B1">
        <w:rPr>
          <w:rFonts w:ascii="Arial" w:hAnsi="Arial" w:cs="Arial"/>
          <w:spacing w:val="38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Cognitive</w:t>
      </w:r>
    </w:p>
    <w:p w14:paraId="1AD04242" w14:textId="77777777" w:rsidR="006C7B8A" w:rsidRPr="007947B1" w:rsidRDefault="00A153B0" w:rsidP="007947B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947B1">
        <w:rPr>
          <w:rFonts w:ascii="Arial" w:hAnsi="Arial" w:cs="Arial"/>
          <w:sz w:val="24"/>
          <w:szCs w:val="24"/>
        </w:rPr>
        <w:t>performance and academic achievement in children following a school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nutrition</w:t>
      </w:r>
      <w:r w:rsidRPr="007947B1">
        <w:rPr>
          <w:rFonts w:ascii="Arial" w:hAnsi="Arial" w:cs="Arial"/>
          <w:spacing w:val="-4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intervention. Pediatrics,</w:t>
      </w:r>
      <w:r w:rsidRPr="007947B1">
        <w:rPr>
          <w:rFonts w:ascii="Arial" w:hAnsi="Arial" w:cs="Arial"/>
          <w:spacing w:val="-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142(2),</w:t>
      </w:r>
      <w:r w:rsidRPr="007947B1">
        <w:rPr>
          <w:rFonts w:ascii="Arial" w:hAnsi="Arial" w:cs="Arial"/>
          <w:spacing w:val="-5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e20180999.</w:t>
      </w:r>
    </w:p>
    <w:p w14:paraId="428AAC34" w14:textId="77777777" w:rsidR="006C7B8A" w:rsidRPr="007947B1" w:rsidRDefault="006C7B8A" w:rsidP="007947B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CFD12A4" w14:textId="77777777" w:rsidR="006C7B8A" w:rsidRPr="007947B1" w:rsidRDefault="00A153B0" w:rsidP="007947B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947B1">
        <w:rPr>
          <w:rFonts w:ascii="Arial" w:hAnsi="Arial" w:cs="Arial"/>
          <w:sz w:val="24"/>
          <w:szCs w:val="24"/>
        </w:rPr>
        <w:t xml:space="preserve">KIRK, S. F. L., et al. (2017). </w:t>
      </w:r>
      <w:r w:rsidRPr="007947B1">
        <w:rPr>
          <w:rFonts w:ascii="Arial" w:hAnsi="Arial" w:cs="Arial"/>
          <w:b/>
          <w:sz w:val="24"/>
          <w:szCs w:val="24"/>
        </w:rPr>
        <w:t>The role of school infrastructure in delivering</w:t>
      </w:r>
      <w:r w:rsidRPr="007947B1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effective</w:t>
      </w:r>
      <w:r w:rsidRPr="007947B1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nutrition</w:t>
      </w:r>
      <w:r w:rsidRPr="007947B1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programs</w:t>
      </w:r>
      <w:r w:rsidRPr="007947B1">
        <w:rPr>
          <w:rFonts w:ascii="Arial" w:hAnsi="Arial" w:cs="Arial"/>
          <w:sz w:val="24"/>
          <w:szCs w:val="24"/>
        </w:rPr>
        <w:t>.</w:t>
      </w:r>
      <w:r w:rsidRPr="007947B1">
        <w:rPr>
          <w:rFonts w:ascii="Arial" w:hAnsi="Arial" w:cs="Arial"/>
          <w:spacing w:val="-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Public Health</w:t>
      </w:r>
      <w:r w:rsidRPr="007947B1">
        <w:rPr>
          <w:rFonts w:ascii="Arial" w:hAnsi="Arial" w:cs="Arial"/>
          <w:spacing w:val="-5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Nutrition, 20(5),</w:t>
      </w:r>
      <w:r w:rsidRPr="007947B1">
        <w:rPr>
          <w:rFonts w:ascii="Arial" w:hAnsi="Arial" w:cs="Arial"/>
          <w:spacing w:val="-6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842-849.</w:t>
      </w:r>
    </w:p>
    <w:p w14:paraId="73C10FEA" w14:textId="77777777" w:rsidR="006C7B8A" w:rsidRPr="007947B1" w:rsidRDefault="006C7B8A" w:rsidP="007947B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08C8B41" w14:textId="77777777" w:rsidR="006C7B8A" w:rsidRPr="007947B1" w:rsidRDefault="00A153B0" w:rsidP="007947B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947B1">
        <w:rPr>
          <w:rFonts w:ascii="Arial" w:hAnsi="Arial" w:cs="Arial"/>
          <w:sz w:val="24"/>
          <w:szCs w:val="24"/>
        </w:rPr>
        <w:t>LOBSTEIN,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T.,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et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al.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(2015).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Obesity</w:t>
      </w:r>
      <w:r w:rsidRPr="007947B1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and</w:t>
      </w:r>
      <w:r w:rsidRPr="007947B1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the</w:t>
      </w:r>
      <w:r w:rsidRPr="007947B1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prevention</w:t>
      </w:r>
      <w:r w:rsidRPr="007947B1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of</w:t>
      </w:r>
      <w:r w:rsidRPr="007947B1">
        <w:rPr>
          <w:rFonts w:ascii="Arial" w:hAnsi="Arial" w:cs="Arial"/>
          <w:b/>
          <w:spacing w:val="66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chronic</w:t>
      </w:r>
      <w:r w:rsidRPr="007947B1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diseases: A</w:t>
      </w:r>
      <w:r w:rsidRPr="007947B1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global</w:t>
      </w:r>
      <w:r w:rsidRPr="007947B1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perspective</w:t>
      </w:r>
      <w:r w:rsidRPr="007947B1">
        <w:rPr>
          <w:rFonts w:ascii="Arial" w:hAnsi="Arial" w:cs="Arial"/>
          <w:sz w:val="24"/>
          <w:szCs w:val="24"/>
        </w:rPr>
        <w:t>. Lancet,</w:t>
      </w:r>
      <w:r w:rsidRPr="007947B1">
        <w:rPr>
          <w:rFonts w:ascii="Arial" w:hAnsi="Arial" w:cs="Arial"/>
          <w:spacing w:val="-5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385(9986), 2223-2230.</w:t>
      </w:r>
    </w:p>
    <w:p w14:paraId="3AC71135" w14:textId="77777777" w:rsidR="006C7B8A" w:rsidRPr="007947B1" w:rsidRDefault="006C7B8A" w:rsidP="007947B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1EBFADF" w14:textId="77777777" w:rsidR="006C7B8A" w:rsidRPr="007947B1" w:rsidRDefault="00A153B0" w:rsidP="007947B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947B1">
        <w:rPr>
          <w:rFonts w:ascii="Arial" w:hAnsi="Arial" w:cs="Arial"/>
          <w:sz w:val="24"/>
          <w:szCs w:val="24"/>
        </w:rPr>
        <w:t xml:space="preserve">LYTLE, L. A. (2002). </w:t>
      </w:r>
      <w:r w:rsidRPr="007947B1">
        <w:rPr>
          <w:rFonts w:ascii="Arial" w:hAnsi="Arial" w:cs="Arial"/>
          <w:b/>
          <w:sz w:val="24"/>
          <w:szCs w:val="24"/>
        </w:rPr>
        <w:t>Nutrition education for youth: A critical review of the</w:t>
      </w:r>
      <w:r w:rsidRPr="007947B1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literature.</w:t>
      </w:r>
      <w:r w:rsidRPr="007947B1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Journal</w:t>
      </w:r>
      <w:r w:rsidRPr="007947B1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of Nutrition</w:t>
      </w:r>
      <w:r w:rsidRPr="007947B1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Education</w:t>
      </w:r>
      <w:r w:rsidRPr="007947B1">
        <w:rPr>
          <w:rFonts w:ascii="Arial" w:hAnsi="Arial" w:cs="Arial"/>
          <w:b/>
          <w:spacing w:val="4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and</w:t>
      </w:r>
      <w:r w:rsidRPr="007947B1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Behavior</w:t>
      </w:r>
      <w:r w:rsidRPr="007947B1">
        <w:rPr>
          <w:rFonts w:ascii="Arial" w:hAnsi="Arial" w:cs="Arial"/>
          <w:sz w:val="24"/>
          <w:szCs w:val="24"/>
        </w:rPr>
        <w:t>,</w:t>
      </w:r>
      <w:r w:rsidRPr="007947B1">
        <w:rPr>
          <w:rFonts w:ascii="Arial" w:hAnsi="Arial" w:cs="Arial"/>
          <w:spacing w:val="-2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34(1),</w:t>
      </w:r>
      <w:r w:rsidRPr="007947B1">
        <w:rPr>
          <w:rFonts w:ascii="Arial" w:hAnsi="Arial" w:cs="Arial"/>
          <w:spacing w:val="-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16-25.</w:t>
      </w:r>
    </w:p>
    <w:p w14:paraId="5503DD9B" w14:textId="77777777" w:rsidR="006C7B8A" w:rsidRPr="007947B1" w:rsidRDefault="006C7B8A" w:rsidP="007947B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0595DAD" w14:textId="77777777" w:rsidR="006C7B8A" w:rsidRPr="007947B1" w:rsidRDefault="00A153B0" w:rsidP="007947B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947B1">
        <w:rPr>
          <w:rFonts w:ascii="Arial" w:hAnsi="Arial" w:cs="Arial"/>
          <w:sz w:val="24"/>
          <w:szCs w:val="24"/>
        </w:rPr>
        <w:t>MONTEIRO,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C.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A.,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et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al.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(2019).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The</w:t>
      </w:r>
      <w:r w:rsidRPr="007947B1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role</w:t>
      </w:r>
      <w:r w:rsidRPr="007947B1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of</w:t>
      </w:r>
      <w:r w:rsidRPr="007947B1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school</w:t>
      </w:r>
      <w:r w:rsidRPr="007947B1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food</w:t>
      </w:r>
      <w:r w:rsidRPr="007947B1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programs</w:t>
      </w:r>
      <w:r w:rsidRPr="007947B1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in</w:t>
      </w:r>
      <w:r w:rsidRPr="007947B1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combating</w:t>
      </w:r>
      <w:r w:rsidRPr="007947B1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childhood</w:t>
      </w:r>
      <w:r w:rsidRPr="007947B1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obesity.</w:t>
      </w:r>
      <w:r w:rsidRPr="007947B1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Public</w:t>
      </w:r>
      <w:r w:rsidRPr="007947B1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Health</w:t>
      </w:r>
      <w:r w:rsidRPr="007947B1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Nutrition,</w:t>
      </w:r>
      <w:r w:rsidRPr="007947B1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22(2),</w:t>
      </w:r>
      <w:r w:rsidRPr="007947B1">
        <w:rPr>
          <w:rFonts w:ascii="Arial" w:hAnsi="Arial" w:cs="Arial"/>
          <w:spacing w:val="-2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132-139.</w:t>
      </w:r>
    </w:p>
    <w:p w14:paraId="4F6B8293" w14:textId="77777777" w:rsidR="006C7B8A" w:rsidRPr="007947B1" w:rsidRDefault="006C7B8A" w:rsidP="007947B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A7D1B3D" w14:textId="77777777" w:rsidR="006C7B8A" w:rsidRPr="007947B1" w:rsidRDefault="00A153B0" w:rsidP="007947B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947B1">
        <w:rPr>
          <w:rFonts w:ascii="Arial" w:hAnsi="Arial" w:cs="Arial"/>
          <w:sz w:val="24"/>
          <w:szCs w:val="24"/>
        </w:rPr>
        <w:t xml:space="preserve">SINGH, G. K., et al. (2008). </w:t>
      </w:r>
      <w:r w:rsidRPr="007947B1">
        <w:rPr>
          <w:rFonts w:ascii="Arial" w:hAnsi="Arial" w:cs="Arial"/>
          <w:b/>
          <w:sz w:val="24"/>
          <w:szCs w:val="24"/>
        </w:rPr>
        <w:t>Obesity and chronic diseases in children: A</w:t>
      </w:r>
      <w:r w:rsidRPr="007947B1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global</w:t>
      </w:r>
      <w:r w:rsidRPr="007947B1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review.</w:t>
      </w:r>
      <w:r w:rsidRPr="007947B1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American</w:t>
      </w:r>
      <w:r w:rsidRPr="007947B1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Journal</w:t>
      </w:r>
      <w:r w:rsidRPr="007947B1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of</w:t>
      </w:r>
      <w:r w:rsidRPr="007947B1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Preventive</w:t>
      </w:r>
      <w:r w:rsidRPr="007947B1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Medicine</w:t>
      </w:r>
      <w:r w:rsidRPr="007947B1">
        <w:rPr>
          <w:rFonts w:ascii="Arial" w:hAnsi="Arial" w:cs="Arial"/>
          <w:sz w:val="24"/>
          <w:szCs w:val="24"/>
        </w:rPr>
        <w:t>,</w:t>
      </w:r>
      <w:r w:rsidRPr="007947B1">
        <w:rPr>
          <w:rFonts w:ascii="Arial" w:hAnsi="Arial" w:cs="Arial"/>
          <w:spacing w:val="-2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35(2),</w:t>
      </w:r>
      <w:r w:rsidRPr="007947B1">
        <w:rPr>
          <w:rFonts w:ascii="Arial" w:hAnsi="Arial" w:cs="Arial"/>
          <w:spacing w:val="-2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142-150.</w:t>
      </w:r>
    </w:p>
    <w:p w14:paraId="5C8AEB32" w14:textId="77777777" w:rsidR="006C7B8A" w:rsidRPr="007947B1" w:rsidRDefault="006C7B8A" w:rsidP="007947B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86DB68D" w14:textId="77777777" w:rsidR="006C7B8A" w:rsidRPr="007947B1" w:rsidRDefault="00A153B0" w:rsidP="007947B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947B1">
        <w:rPr>
          <w:rFonts w:ascii="Arial" w:hAnsi="Arial" w:cs="Arial"/>
          <w:sz w:val="24"/>
          <w:szCs w:val="24"/>
        </w:rPr>
        <w:t>STORY,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M.,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et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al.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(2009).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Schools,</w:t>
      </w:r>
      <w:r w:rsidRPr="007947B1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communities,</w:t>
      </w:r>
      <w:r w:rsidRPr="007947B1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and</w:t>
      </w:r>
      <w:r w:rsidRPr="007947B1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public</w:t>
      </w:r>
      <w:r w:rsidRPr="007947B1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health</w:t>
      </w:r>
      <w:r w:rsidRPr="007947B1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interventions: The role of school-based nutrition programs. Journal of</w:t>
      </w:r>
      <w:r w:rsidRPr="007947B1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School</w:t>
      </w:r>
      <w:r w:rsidRPr="007947B1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Health</w:t>
      </w:r>
      <w:r w:rsidRPr="007947B1">
        <w:rPr>
          <w:rFonts w:ascii="Arial" w:hAnsi="Arial" w:cs="Arial"/>
          <w:sz w:val="24"/>
          <w:szCs w:val="24"/>
        </w:rPr>
        <w:t>, 79(5),</w:t>
      </w:r>
      <w:r w:rsidRPr="007947B1">
        <w:rPr>
          <w:rFonts w:ascii="Arial" w:hAnsi="Arial" w:cs="Arial"/>
          <w:spacing w:val="-4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238-248.</w:t>
      </w:r>
    </w:p>
    <w:p w14:paraId="040133D1" w14:textId="77777777" w:rsidR="006C7B8A" w:rsidRPr="007947B1" w:rsidRDefault="006C7B8A" w:rsidP="007947B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D2D7E51" w14:textId="77777777" w:rsidR="006C7B8A" w:rsidRPr="007947B1" w:rsidRDefault="00A153B0" w:rsidP="007947B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947B1">
        <w:rPr>
          <w:rFonts w:ascii="Arial" w:hAnsi="Arial" w:cs="Arial"/>
          <w:sz w:val="24"/>
          <w:szCs w:val="24"/>
        </w:rPr>
        <w:t>WALKER,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S.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P.,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et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al.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(2007).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Nutrition</w:t>
      </w:r>
      <w:r w:rsidRPr="007947B1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and</w:t>
      </w:r>
      <w:r w:rsidRPr="007947B1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cognitive</w:t>
      </w:r>
      <w:r w:rsidRPr="007947B1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development</w:t>
      </w:r>
      <w:r w:rsidRPr="007947B1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t>in</w:t>
      </w:r>
      <w:r w:rsidRPr="007947B1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b/>
          <w:sz w:val="24"/>
          <w:szCs w:val="24"/>
        </w:rPr>
        <w:lastRenderedPageBreak/>
        <w:t>children: A review of the evidence. American Journal of Clinical Nutrition</w:t>
      </w:r>
      <w:r w:rsidRPr="007947B1">
        <w:rPr>
          <w:rFonts w:ascii="Arial" w:hAnsi="Arial" w:cs="Arial"/>
          <w:sz w:val="24"/>
          <w:szCs w:val="24"/>
        </w:rPr>
        <w:t>,</w:t>
      </w:r>
      <w:r w:rsidRPr="007947B1">
        <w:rPr>
          <w:rFonts w:ascii="Arial" w:hAnsi="Arial" w:cs="Arial"/>
          <w:spacing w:val="1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85(4),</w:t>
      </w:r>
      <w:r w:rsidRPr="007947B1">
        <w:rPr>
          <w:rFonts w:ascii="Arial" w:hAnsi="Arial" w:cs="Arial"/>
          <w:spacing w:val="-5"/>
          <w:sz w:val="24"/>
          <w:szCs w:val="24"/>
        </w:rPr>
        <w:t xml:space="preserve"> </w:t>
      </w:r>
      <w:r w:rsidRPr="007947B1">
        <w:rPr>
          <w:rFonts w:ascii="Arial" w:hAnsi="Arial" w:cs="Arial"/>
          <w:sz w:val="24"/>
          <w:szCs w:val="24"/>
        </w:rPr>
        <w:t>749-752.</w:t>
      </w:r>
    </w:p>
    <w:p w14:paraId="1553B568" w14:textId="77777777" w:rsidR="006C7B8A" w:rsidRPr="007947B1" w:rsidRDefault="006C7B8A" w:rsidP="007947B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763114D" w14:textId="77777777" w:rsidR="006C7B8A" w:rsidRPr="007947B1" w:rsidRDefault="00A153B0" w:rsidP="007947B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947B1">
        <w:rPr>
          <w:rFonts w:ascii="Arial" w:hAnsi="Arial" w:cs="Arial"/>
          <w:sz w:val="24"/>
          <w:szCs w:val="24"/>
        </w:rPr>
        <w:t>World</w:t>
      </w:r>
      <w:r w:rsidRPr="007947B1">
        <w:rPr>
          <w:rFonts w:ascii="Arial" w:hAnsi="Arial" w:cs="Arial"/>
          <w:sz w:val="24"/>
          <w:szCs w:val="24"/>
        </w:rPr>
        <w:tab/>
        <w:t>Health</w:t>
      </w:r>
      <w:r w:rsidRPr="007947B1">
        <w:rPr>
          <w:rFonts w:ascii="Arial" w:hAnsi="Arial" w:cs="Arial"/>
          <w:sz w:val="24"/>
          <w:szCs w:val="24"/>
        </w:rPr>
        <w:tab/>
        <w:t>Organization</w:t>
      </w:r>
      <w:r w:rsidRPr="007947B1">
        <w:rPr>
          <w:rFonts w:ascii="Arial" w:hAnsi="Arial" w:cs="Arial"/>
          <w:sz w:val="24"/>
          <w:szCs w:val="24"/>
        </w:rPr>
        <w:tab/>
        <w:t>[WHO].</w:t>
      </w:r>
      <w:r w:rsidRPr="007947B1">
        <w:rPr>
          <w:rFonts w:ascii="Arial" w:hAnsi="Arial" w:cs="Arial"/>
          <w:sz w:val="24"/>
          <w:szCs w:val="24"/>
        </w:rPr>
        <w:tab/>
        <w:t>(2015).</w:t>
      </w:r>
      <w:r w:rsidRPr="007947B1">
        <w:rPr>
          <w:rFonts w:ascii="Arial" w:hAnsi="Arial" w:cs="Arial"/>
          <w:sz w:val="24"/>
          <w:szCs w:val="24"/>
        </w:rPr>
        <w:tab/>
      </w:r>
      <w:r w:rsidRPr="007947B1">
        <w:rPr>
          <w:rFonts w:ascii="Arial" w:hAnsi="Arial" w:cs="Arial"/>
          <w:b/>
          <w:sz w:val="24"/>
          <w:szCs w:val="24"/>
        </w:rPr>
        <w:t>Healthy</w:t>
      </w:r>
      <w:r w:rsidRPr="007947B1">
        <w:rPr>
          <w:rFonts w:ascii="Arial" w:hAnsi="Arial" w:cs="Arial"/>
          <w:b/>
          <w:sz w:val="24"/>
          <w:szCs w:val="24"/>
        </w:rPr>
        <w:tab/>
        <w:t>diet.</w:t>
      </w:r>
      <w:r w:rsidRPr="007947B1">
        <w:rPr>
          <w:rFonts w:ascii="Arial" w:hAnsi="Arial" w:cs="Arial"/>
          <w:b/>
          <w:sz w:val="24"/>
          <w:szCs w:val="24"/>
        </w:rPr>
        <w:tab/>
      </w:r>
      <w:r w:rsidRPr="007947B1">
        <w:rPr>
          <w:rFonts w:ascii="Arial" w:hAnsi="Arial" w:cs="Arial"/>
          <w:sz w:val="24"/>
          <w:szCs w:val="24"/>
        </w:rPr>
        <w:t>WHO.</w:t>
      </w:r>
    </w:p>
    <w:p w14:paraId="3E9B8B7E" w14:textId="77777777" w:rsidR="006C7B8A" w:rsidRPr="007947B1" w:rsidRDefault="00A153B0" w:rsidP="007947B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hyperlink r:id="rId5">
        <w:r w:rsidRPr="007947B1">
          <w:rPr>
            <w:rFonts w:ascii="Arial" w:hAnsi="Arial" w:cs="Arial"/>
            <w:sz w:val="24"/>
            <w:szCs w:val="24"/>
          </w:rPr>
          <w:t>http://www.who.int/news-room/fact-sheets/detail/healthy-diet</w:t>
        </w:r>
      </w:hyperlink>
    </w:p>
    <w:sectPr w:rsidR="006C7B8A" w:rsidRPr="007947B1" w:rsidSect="007947B1">
      <w:pgSz w:w="11906" w:h="16838"/>
      <w:pgMar w:top="1701" w:right="1701" w:bottom="1134" w:left="1701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Noto Sans CJK SC">
    <w:charset w:val="01"/>
    <w:family w:val="auto"/>
    <w:pitch w:val="variable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E8D6601"/>
    <w:multiLevelType w:val="multilevel"/>
    <w:tmpl w:val="E59C2122"/>
    <w:lvl w:ilvl="0">
      <w:start w:val="1"/>
      <w:numFmt w:val="decimal"/>
      <w:lvlText w:val="%1."/>
      <w:lvlJc w:val="left"/>
      <w:pPr>
        <w:tabs>
          <w:tab w:val="num" w:pos="0"/>
        </w:tabs>
        <w:ind w:left="840" w:hanging="360"/>
      </w:pPr>
      <w:rPr>
        <w:rFonts w:ascii="Arial" w:eastAsia="Arial" w:hAnsi="Arial" w:cs="Arial"/>
        <w:b/>
        <w:bCs/>
        <w:w w:val="99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00" w:hanging="720"/>
      </w:pPr>
      <w:rPr>
        <w:rFonts w:ascii="Arial" w:eastAsia="Arial" w:hAnsi="Arial" w:cs="Arial"/>
        <w:b/>
        <w:bCs/>
        <w:w w:val="99"/>
        <w:sz w:val="24"/>
        <w:szCs w:val="24"/>
        <w:lang w:val="pt-P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38" w:hanging="720"/>
      </w:pPr>
      <w:rPr>
        <w:rFonts w:ascii="Symbol" w:hAnsi="Symbol" w:cs="Symbol" w:hint="default"/>
        <w:lang w:val="pt-P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876" w:hanging="720"/>
      </w:pPr>
      <w:rPr>
        <w:rFonts w:ascii="Symbol" w:hAnsi="Symbol" w:cs="Symbol" w:hint="default"/>
        <w:lang w:val="pt-P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14" w:hanging="720"/>
      </w:pPr>
      <w:rPr>
        <w:rFonts w:ascii="Symbol" w:hAnsi="Symbol" w:cs="Symbol" w:hint="default"/>
        <w:lang w:val="pt-P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52" w:hanging="720"/>
      </w:pPr>
      <w:rPr>
        <w:rFonts w:ascii="Symbol" w:hAnsi="Symbol" w:cs="Symbol" w:hint="default"/>
        <w:lang w:val="pt-P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391" w:hanging="720"/>
      </w:pPr>
      <w:rPr>
        <w:rFonts w:ascii="Symbol" w:hAnsi="Symbol" w:cs="Symbol" w:hint="default"/>
        <w:lang w:val="pt-P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29" w:hanging="720"/>
      </w:pPr>
      <w:rPr>
        <w:rFonts w:ascii="Symbol" w:hAnsi="Symbol" w:cs="Symbol" w:hint="default"/>
        <w:lang w:val="pt-P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067" w:hanging="720"/>
      </w:pPr>
      <w:rPr>
        <w:rFonts w:ascii="Symbol" w:hAnsi="Symbol" w:cs="Symbol" w:hint="default"/>
        <w:lang w:val="pt-PT" w:eastAsia="en-US" w:bidi="ar-SA"/>
      </w:rPr>
    </w:lvl>
  </w:abstractNum>
  <w:abstractNum w:abstractNumId="1" w15:restartNumberingAfterBreak="0">
    <w:nsid w:val="7EF07E89"/>
    <w:multiLevelType w:val="multilevel"/>
    <w:tmpl w:val="1E6A23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268076613">
    <w:abstractNumId w:val="1"/>
  </w:num>
  <w:num w:numId="2" w16cid:durableId="2697019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7B8A"/>
    <w:rsid w:val="006C7B8A"/>
    <w:rsid w:val="00753668"/>
    <w:rsid w:val="007947B1"/>
    <w:rsid w:val="00A153B0"/>
    <w:rsid w:val="00B42251"/>
    <w:rsid w:val="00BD589F"/>
    <w:rsid w:val="00C3546D"/>
    <w:rsid w:val="00EC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F516A"/>
  <w15:docId w15:val="{813F6B93-B427-491D-AD01-CBD9BCE3D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1200" w:hanging="721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InternetLink">
    <w:name w:val="Internet Link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Lista">
    <w:name w:val="List"/>
    <w:basedOn w:val="Corpodetexto"/>
    <w:rPr>
      <w:rFonts w:cs="Noto Sans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Noto Sans Devanagari"/>
    </w:rPr>
  </w:style>
  <w:style w:type="paragraph" w:styleId="PargrafodaLista">
    <w:name w:val="List Paragraph"/>
    <w:basedOn w:val="Normal"/>
    <w:uiPriority w:val="1"/>
    <w:qFormat/>
    <w:pPr>
      <w:ind w:left="1200" w:hanging="721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who.int/news-room/fact-sheets/detail/healthy-di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1509</Words>
  <Characters>8152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Luzinete Mussi</cp:lastModifiedBy>
  <cp:revision>6</cp:revision>
  <dcterms:created xsi:type="dcterms:W3CDTF">2024-11-12T16:10:00Z</dcterms:created>
  <dcterms:modified xsi:type="dcterms:W3CDTF">2024-11-12T18:22:00Z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2024-11-12T00:00:00Z</vt:filetime>
  </property>
</Properties>
</file>